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100ED" w14:textId="77777777" w:rsidR="000809E4" w:rsidRDefault="00000000">
      <w:pPr>
        <w:pStyle w:val="FirstParagraph"/>
      </w:pPr>
      <w:r>
        <w:t>Ogłoszenie Starosty Goleniowskiego</w:t>
      </w:r>
    </w:p>
    <w:p w14:paraId="152D41B1" w14:textId="77777777" w:rsidR="000809E4" w:rsidRDefault="00000000">
      <w:pPr>
        <w:pStyle w:val="Tekstpodstawowy"/>
      </w:pPr>
      <w:r>
        <w:t>w sprawie II przetargu ustnego nieograniczonego</w:t>
      </w:r>
    </w:p>
    <w:p w14:paraId="043DE29F" w14:textId="77777777" w:rsidR="000809E4" w:rsidRDefault="00000000">
      <w:pPr>
        <w:pStyle w:val="Tekstpodstawowy"/>
      </w:pPr>
      <w:r>
        <w:t>Przedmiot przetargu: 1. Dzierżawa na czas oznaczony 5 lat nieruchomości gruntowej niezabudowanej o pow. 1,13 ha, stanowiącej działkę nr 203, położoną w obrębie Sokolniki, gmina Maszewo, będącej własnością Skarbu Państwa, posiadającej księgę wieczystą nr SZ1O/00013865/4. Brak miejscowego planu zagospodarowania przestrzennego. W studium uwarunkowań i kierunków zagospodarowania przestrzennego gminy działka oznaczona jest jako: bagna, torfowiska, łąki podmokłe, w części kompleksy glebowe 2 i 4 gruntów ornych (żyzne). Na części przedmiotowej działki oznaczono stanowiska gruntów chronionych roślin i zwierząt (tereny cenne przyrodniczo proponowane do objęcia ochroną). Działka znajduje się w strefie oznaczonej symbolem OC-13 – śródpolne oczka wodne na zachód od wsi Sokolniki oraz w strefie 5. W-15 – strefy zabudowy wielofunkcyjnej. Dzierżawa przeznaczona jest na cele rolne.</w:t>
      </w:r>
    </w:p>
    <w:p w14:paraId="552B8D88" w14:textId="77777777" w:rsidR="000809E4" w:rsidRDefault="00000000">
      <w:pPr>
        <w:numPr>
          <w:ilvl w:val="0"/>
          <w:numId w:val="2"/>
        </w:numPr>
      </w:pPr>
      <w:r>
        <w:t>Tryb przetargu: przetarg ustny nieograniczony.</w:t>
      </w:r>
    </w:p>
    <w:p w14:paraId="02E174D9" w14:textId="77777777" w:rsidR="000809E4" w:rsidRDefault="00000000">
      <w:pPr>
        <w:numPr>
          <w:ilvl w:val="0"/>
          <w:numId w:val="2"/>
        </w:numPr>
      </w:pPr>
      <w:r>
        <w:t>Cena wywoławcza czynszu dzierżawnego: 500,00 zł (rocznie).</w:t>
      </w:r>
    </w:p>
    <w:p w14:paraId="1E4C6587" w14:textId="77777777" w:rsidR="000809E4" w:rsidRDefault="00000000">
      <w:pPr>
        <w:pStyle w:val="Compact"/>
        <w:numPr>
          <w:ilvl w:val="0"/>
          <w:numId w:val="3"/>
        </w:numPr>
      </w:pPr>
      <w:r>
        <w:t>wadium: 50,00 zł</w:t>
      </w:r>
    </w:p>
    <w:p w14:paraId="73DFA477" w14:textId="77777777" w:rsidR="000809E4" w:rsidRDefault="00000000">
      <w:pPr>
        <w:pStyle w:val="Compact"/>
        <w:numPr>
          <w:ilvl w:val="0"/>
          <w:numId w:val="3"/>
        </w:numPr>
      </w:pPr>
      <w:r>
        <w:t>postąpienie: o wysokości postąpienia decydują uczestnicy przetargu, jednak nie może ono być mniejsze niż 10 zł (zgodnie z § 14 ust. 3 rozporządzenia Rady Ministrów z dnia 14 września 2004 r.).</w:t>
      </w:r>
    </w:p>
    <w:p w14:paraId="65B55174" w14:textId="77777777" w:rsidR="000809E4" w:rsidRDefault="00000000">
      <w:pPr>
        <w:pStyle w:val="FirstParagraph"/>
      </w:pPr>
      <w:r>
        <w:t>Czynsz będzie corocznie waloryzowany w oparciu o średnioroczny wskaźnik cen towarów i usług konsumpcyjnych ogółem za rok poprzedni, podawany w komunikacie Prezesa Głównego Urzędu Statystycznego, publikowanym w Dzienniku Urzędowym Rzeczypospolitej Polskiej „Monitor Polski”. Stawka czynszu nie obejmuje podatku od nieruchomości, który dzierżawca zobowiązany będzie płacić odrębnie.</w:t>
      </w:r>
    </w:p>
    <w:p w14:paraId="7802C274" w14:textId="77777777" w:rsidR="000809E4" w:rsidRDefault="00000000">
      <w:pPr>
        <w:pStyle w:val="Tekstpodstawowy"/>
      </w:pPr>
      <w:r>
        <w:t>Termin i miejsce przetargu: Przetarg odbędzie się w dniu 2 grudnia 2025 r. o godz. 10:00 w siedzibie Starostwa Powiatowego w Goleniowie przy ul. Dworcowej 1 (pokój 125).</w:t>
      </w:r>
    </w:p>
    <w:p w14:paraId="1CEACAE3" w14:textId="77777777" w:rsidR="000809E4" w:rsidRDefault="00000000">
      <w:pPr>
        <w:pStyle w:val="Tekstpodstawowy"/>
      </w:pPr>
      <w:r>
        <w:t>Warunki uczestnictwa: Wadium w podanej wysokości należy wpłacić na konto Starostwa Powiatowego w Goleniowie – Bank Spółdzielczy w Goleniowie nr 15-9375-0002-0000-0459-2000-0040 do dnia 24 listopada 2025 r. Za datę wpłaty wadium uznaje się dzień wpływu środków na wskazany rachunek bankowy.</w:t>
      </w:r>
    </w:p>
    <w:p w14:paraId="76762BEC" w14:textId="77777777" w:rsidR="000809E4" w:rsidRDefault="00000000">
      <w:pPr>
        <w:pStyle w:val="Tekstpodstawowy"/>
      </w:pPr>
      <w:r>
        <w:t>W tytule przelewu należy wpisać: „Wadium dz. 203 obr. Sokolniki, gmina Maszewo” oraz podać imię i nazwisko (lub nazwę osoby prawnej) oferenta/ów.</w:t>
      </w:r>
    </w:p>
    <w:p w14:paraId="2E7FE530" w14:textId="77777777" w:rsidR="000809E4" w:rsidRDefault="00000000">
      <w:pPr>
        <w:pStyle w:val="Tekstpodstawowy"/>
      </w:pPr>
      <w:r>
        <w:t>Warunkiem uczestnictwa w przetargu jest okazanie dowodu wpłaty wadium oraz dowodu tożsamości oferenta, a w przypadku udziału osób prawnych – aktualnego wypisu z Krajowego Rejestru Sądowego lub innego dokumentu urzędowego określającego status prawny oferenta oraz stosownych pełnomocnictw.</w:t>
      </w:r>
    </w:p>
    <w:p w14:paraId="7B881E01" w14:textId="77777777" w:rsidR="000809E4" w:rsidRDefault="00000000">
      <w:pPr>
        <w:pStyle w:val="Tekstpodstawowy"/>
      </w:pPr>
      <w:r>
        <w:lastRenderedPageBreak/>
        <w:t>Małżonkowie biorą udział w przetargu osobiście lub okazują pełnomocnictwo drugiego małżonka (w formie wymaganej przepisami prawa) do udziału w przetargu, celem zawarcia umowy dzierżawy na wylicytowanych warunkach.</w:t>
      </w:r>
    </w:p>
    <w:p w14:paraId="2FF3F5B7" w14:textId="77777777" w:rsidR="000809E4" w:rsidRDefault="00000000">
      <w:pPr>
        <w:pStyle w:val="Tekstpodstawowy"/>
      </w:pPr>
      <w:r>
        <w:t>Wadium zalicza się na poczet czynszu dzierżawnego osobie, która wygra przetarg. W przypadku uchylenia się przez tę osobę od zawarcia umowy dzierżawy, wadium ulega przepadkowi.</w:t>
      </w:r>
    </w:p>
    <w:p w14:paraId="3D262FF1" w14:textId="77777777" w:rsidR="000809E4" w:rsidRDefault="00000000">
      <w:pPr>
        <w:pStyle w:val="Tekstpodstawowy"/>
      </w:pPr>
      <w:r>
        <w:t>Dodatkowe informacje: Szczegółowe informacje dotyczące nieruchomości będącej przedmiotem dzierżawy można uzyskać w Wydziale Gospodarki Nieruchomościami Starostwa Powiatowego w Goleniowie (pokój 202, II piętro) lub pod numerem telefonu (91) 471-02-38 w godzinach pracy urzędu.</w:t>
      </w:r>
    </w:p>
    <w:p w14:paraId="7D0A0ECF" w14:textId="77777777" w:rsidR="000809E4" w:rsidRDefault="00000000">
      <w:pPr>
        <w:pStyle w:val="Tekstpodstawowy"/>
      </w:pPr>
      <w:r>
        <w:t>Ogłoszenie o przetargu zostało zamieszczone na stronie Biuletynu Informacji Publicznej: spow.goleniow.ibip.pl.</w:t>
      </w:r>
    </w:p>
    <w:p w14:paraId="05E70860" w14:textId="77777777" w:rsidR="000809E4" w:rsidRDefault="00000000">
      <w:pPr>
        <w:pStyle w:val="Tekstpodstawowy"/>
      </w:pPr>
      <w:r>
        <w:t>Starosta Goleniowski</w:t>
      </w:r>
    </w:p>
    <w:sectPr w:rsidR="000809E4">
      <w:footnotePr>
        <w:numRestart w:val="eachSect"/>
      </w:footnotePr>
      <w:pgSz w:w="12240" w:h="15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4AA05F80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20F24E38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0A99412"/>
    <w:multiLevelType w:val="multilevel"/>
    <w:tmpl w:val="0428C70A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2."/>
      <w:lvlJc w:val="left"/>
      <w:pPr>
        <w:ind w:left="1440" w:hanging="360"/>
      </w:pPr>
    </w:lvl>
    <w:lvl w:ilvl="2">
      <w:start w:val="2"/>
      <w:numFmt w:val="decimal"/>
      <w:lvlText w:val="%3."/>
      <w:lvlJc w:val="left"/>
      <w:pPr>
        <w:ind w:left="2160" w:hanging="360"/>
      </w:pPr>
    </w:lvl>
    <w:lvl w:ilvl="3">
      <w:start w:val="2"/>
      <w:numFmt w:val="decimal"/>
      <w:lvlText w:val="%4."/>
      <w:lvlJc w:val="left"/>
      <w:pPr>
        <w:ind w:left="2880" w:hanging="360"/>
      </w:pPr>
    </w:lvl>
    <w:lvl w:ilvl="4">
      <w:start w:val="2"/>
      <w:numFmt w:val="decimal"/>
      <w:lvlText w:val="%5."/>
      <w:lvlJc w:val="left"/>
      <w:pPr>
        <w:ind w:left="3600" w:hanging="360"/>
      </w:pPr>
    </w:lvl>
    <w:lvl w:ilvl="5">
      <w:start w:val="2"/>
      <w:numFmt w:val="decimal"/>
      <w:lvlText w:val="%6."/>
      <w:lvlJc w:val="left"/>
      <w:pPr>
        <w:ind w:left="4320" w:hanging="360"/>
      </w:pPr>
    </w:lvl>
    <w:lvl w:ilvl="6">
      <w:start w:val="2"/>
      <w:numFmt w:val="decimal"/>
      <w:lvlText w:val="%7."/>
      <w:lvlJc w:val="left"/>
      <w:pPr>
        <w:ind w:left="5040" w:hanging="360"/>
      </w:pPr>
    </w:lvl>
    <w:lvl w:ilvl="7">
      <w:start w:val="2"/>
      <w:numFmt w:val="decimal"/>
      <w:lvlText w:val="%8."/>
      <w:lvlJc w:val="left"/>
      <w:pPr>
        <w:ind w:left="5760" w:hanging="360"/>
      </w:pPr>
    </w:lvl>
    <w:lvl w:ilvl="8">
      <w:start w:val="2"/>
      <w:numFmt w:val="decimal"/>
      <w:lvlText w:val="%9."/>
      <w:lvlJc w:val="left"/>
      <w:pPr>
        <w:ind w:left="6480" w:hanging="360"/>
      </w:pPr>
    </w:lvl>
  </w:abstractNum>
  <w:num w:numId="1" w16cid:durableId="1307012302">
    <w:abstractNumId w:val="0"/>
  </w:num>
  <w:num w:numId="2" w16cid:durableId="229536237">
    <w:abstractNumId w:val="2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  <w:lvlOverride w:ilvl="7">
      <w:startOverride w:val="2"/>
    </w:lvlOverride>
    <w:lvlOverride w:ilvl="8">
      <w:startOverride w:val="2"/>
    </w:lvlOverride>
  </w:num>
  <w:num w:numId="3" w16cid:durableId="545948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9E4"/>
    <w:rsid w:val="000809E4"/>
    <w:rsid w:val="002B5AC6"/>
    <w:rsid w:val="0080494F"/>
    <w:rsid w:val="00A23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EBF44"/>
  <w15:docId w15:val="{C884766F-D2D5-40C7-B761-30E324B6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Tekstpodstawowy"/>
    <w:link w:val="Nagwek1Znak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Tekstpodstawowy"/>
    <w:link w:val="Nagwek2Znak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Tekstpodstawowy"/>
    <w:link w:val="Nagwek3Znak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Tekstpodstawowy"/>
    <w:link w:val="Nagwek4Znak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Tekstpodstawowy"/>
    <w:link w:val="Nagwek5Znak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Tekstpodstawowy"/>
    <w:link w:val="Nagwek6Znak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Tekstpodstawowy"/>
    <w:link w:val="Nagwek7Znak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Tekstpodstawowy"/>
    <w:link w:val="Nagwek8Znak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Tekstpodstawowy"/>
    <w:link w:val="Nagwek9Znak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qFormat/>
    <w:pPr>
      <w:spacing w:before="180" w:after="180"/>
    </w:pPr>
  </w:style>
  <w:style w:type="paragraph" w:customStyle="1" w:styleId="FirstParagraph">
    <w:name w:val="First Paragraph"/>
    <w:basedOn w:val="Tekstpodstawowy"/>
    <w:next w:val="Tekstpodstawowy"/>
    <w:qFormat/>
  </w:style>
  <w:style w:type="paragraph" w:customStyle="1" w:styleId="Compact">
    <w:name w:val="Compact"/>
    <w:basedOn w:val="Tekstpodstawowy"/>
    <w:qFormat/>
    <w:pPr>
      <w:spacing w:before="36" w:after="36"/>
    </w:pPr>
  </w:style>
  <w:style w:type="paragraph" w:styleId="Tytu">
    <w:name w:val="Title"/>
    <w:basedOn w:val="Normalny"/>
    <w:next w:val="Tekstpodstawowy"/>
    <w:link w:val="TytuZnak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Tytu"/>
    <w:next w:val="Tekstpodstawowy"/>
    <w:link w:val="PodtytuZnak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Tekstpodstawowy"/>
    <w:qFormat/>
    <w:pPr>
      <w:keepNext/>
      <w:keepLines/>
      <w:jc w:val="center"/>
    </w:pPr>
  </w:style>
  <w:style w:type="paragraph" w:styleId="Data">
    <w:name w:val="Date"/>
    <w:next w:val="Tekstpodstawowy"/>
    <w:qFormat/>
    <w:pPr>
      <w:keepNext/>
      <w:keepLines/>
      <w:jc w:val="center"/>
    </w:pPr>
  </w:style>
  <w:style w:type="paragraph" w:customStyle="1" w:styleId="AbstractTitle">
    <w:name w:val="Abstract Title"/>
    <w:basedOn w:val="Normalny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ny"/>
    <w:next w:val="Tekstpodstawowy"/>
    <w:qFormat/>
    <w:pPr>
      <w:keepNext/>
      <w:keepLines/>
      <w:spacing w:before="100" w:after="300"/>
    </w:pPr>
    <w:rPr>
      <w:sz w:val="20"/>
      <w:szCs w:val="20"/>
    </w:rPr>
  </w:style>
  <w:style w:type="paragraph" w:styleId="Bibliografia">
    <w:name w:val="Bibliography"/>
    <w:basedOn w:val="Normalny"/>
    <w:qFormat/>
  </w:style>
  <w:style w:type="character" w:customStyle="1" w:styleId="Nagwek1Znak">
    <w:name w:val="Nagłówek 1 Znak"/>
    <w:basedOn w:val="Domylnaczcionkaakapitu"/>
    <w:link w:val="Nagwek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Tekstblokowy">
    <w:name w:val="Block Text"/>
    <w:basedOn w:val="Tekstpodstawowy"/>
    <w:next w:val="Tekstpodstawowy"/>
    <w:uiPriority w:val="9"/>
    <w:unhideWhenUsed/>
    <w:qFormat/>
    <w:pPr>
      <w:spacing w:before="100" w:after="100"/>
      <w:ind w:left="480" w:right="480"/>
    </w:pPr>
  </w:style>
  <w:style w:type="paragraph" w:styleId="Tekstprzypisudolnego">
    <w:name w:val="footnote text"/>
    <w:basedOn w:val="Normalny"/>
    <w:uiPriority w:val="9"/>
    <w:unhideWhenUsed/>
    <w:qFormat/>
  </w:style>
  <w:style w:type="paragraph" w:customStyle="1" w:styleId="FootnoteBlockText">
    <w:name w:val="Footnote Block Text"/>
    <w:basedOn w:val="Tekstprzypisudolnego"/>
    <w:next w:val="Tekstprzypisudolnego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ny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ny"/>
  </w:style>
  <w:style w:type="paragraph" w:styleId="Legenda">
    <w:name w:val="caption"/>
    <w:basedOn w:val="Normalny"/>
    <w:link w:val="LegendaZnak"/>
    <w:pPr>
      <w:spacing w:after="120"/>
    </w:pPr>
    <w:rPr>
      <w:i/>
    </w:rPr>
  </w:style>
  <w:style w:type="paragraph" w:customStyle="1" w:styleId="TableCaption">
    <w:name w:val="Table Caption"/>
    <w:basedOn w:val="Legenda"/>
    <w:pPr>
      <w:keepNext/>
    </w:pPr>
  </w:style>
  <w:style w:type="paragraph" w:customStyle="1" w:styleId="ImageCaption">
    <w:name w:val="Image Caption"/>
    <w:basedOn w:val="Legenda"/>
  </w:style>
  <w:style w:type="paragraph" w:customStyle="1" w:styleId="Figure">
    <w:name w:val="Figure"/>
    <w:basedOn w:val="Normalny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LegendaZnak">
    <w:name w:val="Legenda Znak"/>
    <w:basedOn w:val="Domylnaczcionkaakapitu"/>
    <w:link w:val="Legenda"/>
  </w:style>
  <w:style w:type="character" w:customStyle="1" w:styleId="VerbatimChar">
    <w:name w:val="Verbatim Char"/>
    <w:basedOn w:val="LegendaZnak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LegendaZnak"/>
  </w:style>
  <w:style w:type="character" w:styleId="Odwoanieprzypisudolnego">
    <w:name w:val="footnote reference"/>
    <w:basedOn w:val="LegendaZnak"/>
    <w:rPr>
      <w:vertAlign w:val="superscript"/>
    </w:rPr>
  </w:style>
  <w:style w:type="character" w:styleId="Hipercze">
    <w:name w:val="Hyperlink"/>
    <w:basedOn w:val="LegendaZnak"/>
    <w:rPr>
      <w:color w:val="156082" w:themeColor="accent1"/>
    </w:rPr>
  </w:style>
  <w:style w:type="paragraph" w:styleId="Nagwekspisutreci">
    <w:name w:val="TOC Heading"/>
    <w:basedOn w:val="Nagwek1"/>
    <w:next w:val="Tekstpodstawowy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ny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2874</Characters>
  <Application>Microsoft Office Word</Application>
  <DocSecurity>0</DocSecurity>
  <Lines>23</Lines>
  <Paragraphs>6</Paragraphs>
  <ScaleCrop>false</ScaleCrop>
  <Company/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Martyna Puciłowska</dc:creator>
  <cp:keywords/>
  <cp:lastModifiedBy>Martyna Puciłowska</cp:lastModifiedBy>
  <cp:revision>2</cp:revision>
  <dcterms:created xsi:type="dcterms:W3CDTF">2025-10-22T10:32:00Z</dcterms:created>
  <dcterms:modified xsi:type="dcterms:W3CDTF">2025-10-22T10:32:00Z</dcterms:modified>
</cp:coreProperties>
</file>