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4A282" w14:textId="77777777" w:rsidR="00171E71" w:rsidRPr="00956034" w:rsidRDefault="00171E71" w:rsidP="00493EAB">
      <w:pPr>
        <w:pStyle w:val="Standard"/>
        <w:spacing w:after="0" w:line="240" w:lineRule="auto"/>
        <w:jc w:val="right"/>
        <w:rPr>
          <w:rFonts w:ascii="Times New Roman" w:hAnsi="Times New Roman"/>
          <w:color w:val="000000" w:themeColor="text1"/>
          <w:sz w:val="24"/>
          <w:szCs w:val="24"/>
        </w:rPr>
      </w:pPr>
    </w:p>
    <w:p w14:paraId="0A3B076F" w14:textId="77777777" w:rsidR="00171E71" w:rsidRPr="00956034" w:rsidRDefault="00171E71" w:rsidP="00493EAB">
      <w:pPr>
        <w:pStyle w:val="Standard"/>
        <w:spacing w:after="0" w:line="240" w:lineRule="auto"/>
        <w:jc w:val="right"/>
        <w:rPr>
          <w:rFonts w:ascii="Times New Roman" w:hAnsi="Times New Roman"/>
          <w:color w:val="000000" w:themeColor="text1"/>
          <w:sz w:val="24"/>
          <w:szCs w:val="24"/>
        </w:rPr>
      </w:pPr>
      <w:r w:rsidRPr="00956034">
        <w:rPr>
          <w:rFonts w:ascii="Times New Roman" w:hAnsi="Times New Roman"/>
          <w:color w:val="000000" w:themeColor="text1"/>
          <w:sz w:val="24"/>
          <w:szCs w:val="24"/>
        </w:rPr>
        <w:t xml:space="preserve">Goleniów, dnia </w:t>
      </w:r>
      <w:r>
        <w:rPr>
          <w:rFonts w:ascii="Times New Roman" w:hAnsi="Times New Roman"/>
          <w:color w:val="000000" w:themeColor="text1"/>
          <w:sz w:val="24"/>
          <w:szCs w:val="24"/>
        </w:rPr>
        <w:t>27</w:t>
      </w:r>
      <w:r w:rsidRPr="00956034">
        <w:rPr>
          <w:rFonts w:ascii="Times New Roman" w:hAnsi="Times New Roman"/>
          <w:color w:val="000000" w:themeColor="text1"/>
          <w:sz w:val="24"/>
          <w:szCs w:val="24"/>
        </w:rPr>
        <w:t xml:space="preserve"> lutego 2023 r.</w:t>
      </w:r>
    </w:p>
    <w:p w14:paraId="1598D544" w14:textId="77777777" w:rsidR="00171E71" w:rsidRPr="00956034" w:rsidRDefault="00171E71" w:rsidP="00493EAB">
      <w:pPr>
        <w:pStyle w:val="Standard"/>
        <w:spacing w:after="0" w:line="240" w:lineRule="auto"/>
        <w:rPr>
          <w:color w:val="000000" w:themeColor="text1"/>
        </w:rPr>
      </w:pPr>
      <w:r w:rsidRPr="00956034">
        <w:rPr>
          <w:rFonts w:ascii="Times New Roman" w:hAnsi="Times New Roman"/>
          <w:color w:val="000000" w:themeColor="text1"/>
          <w:sz w:val="24"/>
          <w:szCs w:val="24"/>
        </w:rPr>
        <w:t>WGN.6853.</w:t>
      </w:r>
      <w:r w:rsidRPr="00956034">
        <w:rPr>
          <w:rFonts w:ascii="Times New Roman" w:hAnsi="Times New Roman"/>
          <w:b/>
          <w:color w:val="000000" w:themeColor="text1"/>
          <w:sz w:val="24"/>
          <w:szCs w:val="24"/>
        </w:rPr>
        <w:t>11.</w:t>
      </w:r>
      <w:r w:rsidRPr="00956034">
        <w:rPr>
          <w:rFonts w:ascii="Times New Roman" w:hAnsi="Times New Roman"/>
          <w:color w:val="000000" w:themeColor="text1"/>
          <w:sz w:val="24"/>
          <w:szCs w:val="24"/>
        </w:rPr>
        <w:t>2022.MWR</w:t>
      </w:r>
    </w:p>
    <w:p w14:paraId="233A3E10" w14:textId="77777777" w:rsidR="00171E71" w:rsidRPr="00956034" w:rsidRDefault="00171E71" w:rsidP="00493EAB">
      <w:pPr>
        <w:pStyle w:val="Standard"/>
        <w:spacing w:after="0" w:line="240" w:lineRule="auto"/>
        <w:rPr>
          <w:rFonts w:ascii="Times New Roman" w:hAnsi="Times New Roman"/>
          <w:color w:val="000000" w:themeColor="text1"/>
          <w:sz w:val="24"/>
          <w:szCs w:val="24"/>
        </w:rPr>
      </w:pPr>
    </w:p>
    <w:p w14:paraId="0C6BB3AC" w14:textId="77777777" w:rsidR="00171E71" w:rsidRPr="00956034" w:rsidRDefault="00171E71" w:rsidP="00493EAB">
      <w:pPr>
        <w:pStyle w:val="Standard"/>
        <w:spacing w:after="0" w:line="240" w:lineRule="auto"/>
        <w:jc w:val="center"/>
        <w:rPr>
          <w:rFonts w:ascii="Times New Roman" w:hAnsi="Times New Roman"/>
          <w:b/>
          <w:bCs/>
          <w:color w:val="000000" w:themeColor="text1"/>
          <w:sz w:val="24"/>
          <w:szCs w:val="24"/>
        </w:rPr>
      </w:pPr>
      <w:r w:rsidRPr="00956034">
        <w:rPr>
          <w:rFonts w:ascii="Times New Roman" w:hAnsi="Times New Roman"/>
          <w:b/>
          <w:bCs/>
          <w:color w:val="000000" w:themeColor="text1"/>
          <w:sz w:val="24"/>
          <w:szCs w:val="24"/>
        </w:rPr>
        <w:t>D E C Y Z J A</w:t>
      </w:r>
    </w:p>
    <w:p w14:paraId="1AD88861" w14:textId="77777777" w:rsidR="00171E71" w:rsidRPr="0009480B" w:rsidRDefault="00171E71" w:rsidP="00493EAB">
      <w:pPr>
        <w:pStyle w:val="Standard"/>
        <w:spacing w:line="240" w:lineRule="auto"/>
        <w:jc w:val="center"/>
        <w:rPr>
          <w:rFonts w:ascii="Times New Roman" w:hAnsi="Times New Roman"/>
          <w:b/>
          <w:color w:val="000000" w:themeColor="text1"/>
          <w:sz w:val="24"/>
          <w:szCs w:val="24"/>
        </w:rPr>
      </w:pPr>
      <w:r w:rsidRPr="00426B71">
        <w:rPr>
          <w:rFonts w:ascii="Times New Roman" w:hAnsi="Times New Roman"/>
          <w:b/>
          <w:color w:val="000000" w:themeColor="text1"/>
          <w:sz w:val="24"/>
          <w:szCs w:val="24"/>
        </w:rPr>
        <w:t>o ustaleniu odszkodowania</w:t>
      </w:r>
      <w:r w:rsidRPr="00956034">
        <w:rPr>
          <w:rFonts w:ascii="Times New Roman" w:hAnsi="Times New Roman"/>
          <w:color w:val="000000" w:themeColor="text1"/>
          <w:sz w:val="24"/>
          <w:szCs w:val="24"/>
        </w:rPr>
        <w:t xml:space="preserve">    </w:t>
      </w:r>
    </w:p>
    <w:p w14:paraId="7FF4C23B" w14:textId="77777777" w:rsidR="00171E71" w:rsidRPr="00956034" w:rsidRDefault="00171E71" w:rsidP="00493EAB">
      <w:pPr>
        <w:pStyle w:val="Standard"/>
        <w:spacing w:after="0" w:line="240" w:lineRule="auto"/>
        <w:jc w:val="center"/>
        <w:rPr>
          <w:rFonts w:ascii="Times New Roman" w:hAnsi="Times New Roman"/>
          <w:color w:val="000000" w:themeColor="text1"/>
          <w:sz w:val="24"/>
          <w:szCs w:val="24"/>
        </w:rPr>
      </w:pPr>
      <w:r w:rsidRPr="00956034">
        <w:rPr>
          <w:rFonts w:ascii="Times New Roman" w:hAnsi="Times New Roman"/>
          <w:color w:val="000000" w:themeColor="text1"/>
          <w:sz w:val="24"/>
          <w:szCs w:val="24"/>
        </w:rPr>
        <w:t xml:space="preserve"> </w:t>
      </w:r>
    </w:p>
    <w:p w14:paraId="6BCC5F32" w14:textId="77777777" w:rsidR="00171E71" w:rsidRPr="00956034" w:rsidRDefault="00171E71" w:rsidP="00493EAB">
      <w:pPr>
        <w:pStyle w:val="Standard"/>
        <w:tabs>
          <w:tab w:val="left" w:pos="733"/>
        </w:tabs>
        <w:spacing w:after="0" w:line="240" w:lineRule="auto"/>
        <w:jc w:val="both"/>
        <w:rPr>
          <w:color w:val="000000" w:themeColor="text1"/>
        </w:rPr>
      </w:pPr>
      <w:r w:rsidRPr="00956034">
        <w:rPr>
          <w:rFonts w:ascii="Times New Roman" w:hAnsi="Times New Roman"/>
          <w:color w:val="000000" w:themeColor="text1"/>
          <w:sz w:val="24"/>
          <w:szCs w:val="24"/>
        </w:rPr>
        <w:t>Na podstawie art. 128 ust. 4, art. 129 ust. 1 i ust. 5 pkt 1, art. 130, art. 132 ust. 1a, ust. 2, ust. 3, ust. 6  w związku z art. 124 ust. 1 i 124a oraz</w:t>
      </w:r>
      <w:r>
        <w:rPr>
          <w:rFonts w:ascii="Times New Roman" w:hAnsi="Times New Roman"/>
          <w:color w:val="000000" w:themeColor="text1"/>
          <w:sz w:val="24"/>
          <w:szCs w:val="24"/>
        </w:rPr>
        <w:t xml:space="preserve"> w związku</w:t>
      </w:r>
      <w:r w:rsidRPr="00956034">
        <w:rPr>
          <w:rFonts w:ascii="Times New Roman" w:hAnsi="Times New Roman"/>
          <w:color w:val="000000" w:themeColor="text1"/>
          <w:sz w:val="24"/>
          <w:szCs w:val="24"/>
        </w:rPr>
        <w:t xml:space="preserve"> z art. 6 pkt 2 ustawy z dnia 21 sierpnia 1997 r. </w:t>
      </w:r>
      <w:r w:rsidRPr="00956034">
        <w:rPr>
          <w:rFonts w:ascii="Times New Roman" w:hAnsi="Times New Roman"/>
          <w:color w:val="000000" w:themeColor="text1"/>
          <w:sz w:val="24"/>
          <w:szCs w:val="24"/>
        </w:rPr>
        <w:br/>
      </w:r>
      <w:r w:rsidRPr="00956034">
        <w:rPr>
          <w:rFonts w:ascii="Times New Roman" w:hAnsi="Times New Roman"/>
          <w:i/>
          <w:iCs/>
          <w:color w:val="000000" w:themeColor="text1"/>
          <w:sz w:val="24"/>
          <w:szCs w:val="24"/>
        </w:rPr>
        <w:t>o gospodarce nieruchomościami</w:t>
      </w:r>
      <w:r>
        <w:rPr>
          <w:rFonts w:ascii="Times New Roman" w:hAnsi="Times New Roman"/>
          <w:color w:val="000000" w:themeColor="text1"/>
          <w:sz w:val="24"/>
          <w:szCs w:val="24"/>
        </w:rPr>
        <w:t xml:space="preserve"> (t. j. Dz. U. z 2023 r., poz. 344</w:t>
      </w:r>
      <w:r w:rsidRPr="00956034">
        <w:rPr>
          <w:rFonts w:ascii="Times New Roman" w:hAnsi="Times New Roman"/>
          <w:color w:val="000000" w:themeColor="text1"/>
          <w:sz w:val="24"/>
          <w:szCs w:val="24"/>
        </w:rPr>
        <w:t xml:space="preserve">), </w:t>
      </w:r>
      <w:r w:rsidRPr="00956034">
        <w:rPr>
          <w:rFonts w:ascii="Times New Roman" w:eastAsia="Times New Roman" w:hAnsi="Times New Roman"/>
          <w:color w:val="000000" w:themeColor="text1"/>
          <w:sz w:val="24"/>
          <w:szCs w:val="24"/>
        </w:rPr>
        <w:t>§ 43 ust. 3 rozporządzenia Rady Ministr</w:t>
      </w:r>
      <w:r w:rsidRPr="00956034">
        <w:rPr>
          <w:rFonts w:ascii="Times New Roman" w:eastAsia="Hind" w:hAnsi="Times New Roman" w:cs="Hind"/>
          <w:color w:val="000000" w:themeColor="text1"/>
          <w:sz w:val="24"/>
          <w:szCs w:val="24"/>
        </w:rPr>
        <w:t>ów z dnia 21 wrze</w:t>
      </w:r>
      <w:r w:rsidRPr="00956034">
        <w:rPr>
          <w:rFonts w:ascii="Times New Roman" w:eastAsia="Arial" w:hAnsi="Times New Roman" w:cs="Arial"/>
          <w:color w:val="000000" w:themeColor="text1"/>
          <w:sz w:val="24"/>
          <w:szCs w:val="24"/>
        </w:rPr>
        <w:t xml:space="preserve">śnia 2004 r. </w:t>
      </w:r>
      <w:r w:rsidRPr="00956034">
        <w:rPr>
          <w:rFonts w:ascii="Times New Roman" w:eastAsia="Arial" w:hAnsi="Times New Roman" w:cs="Arial"/>
          <w:i/>
          <w:color w:val="000000" w:themeColor="text1"/>
          <w:sz w:val="24"/>
          <w:szCs w:val="24"/>
        </w:rPr>
        <w:t xml:space="preserve">w sprawie wyceny nieruchomości </w:t>
      </w:r>
      <w:r w:rsidRPr="00956034">
        <w:rPr>
          <w:rFonts w:ascii="Times New Roman" w:eastAsia="Arial" w:hAnsi="Times New Roman" w:cs="Arial"/>
          <w:i/>
          <w:color w:val="000000" w:themeColor="text1"/>
          <w:sz w:val="24"/>
          <w:szCs w:val="24"/>
        </w:rPr>
        <w:br/>
        <w:t>i sporz</w:t>
      </w:r>
      <w:r w:rsidRPr="00956034">
        <w:rPr>
          <w:rFonts w:ascii="Times New Roman" w:eastAsia="Times New Roman" w:hAnsi="Times New Roman"/>
          <w:i/>
          <w:color w:val="000000" w:themeColor="text1"/>
          <w:sz w:val="24"/>
          <w:szCs w:val="24"/>
        </w:rPr>
        <w:t>ądzania operatu szacunkowego</w:t>
      </w:r>
      <w:r w:rsidRPr="00956034">
        <w:rPr>
          <w:rFonts w:ascii="Times New Roman" w:eastAsia="Times New Roman" w:hAnsi="Times New Roman"/>
          <w:color w:val="000000" w:themeColor="text1"/>
          <w:sz w:val="24"/>
          <w:szCs w:val="24"/>
        </w:rPr>
        <w:t xml:space="preserve"> (</w:t>
      </w:r>
      <w:r>
        <w:rPr>
          <w:rFonts w:ascii="Times New Roman" w:eastAsia="Times New Roman" w:hAnsi="Times New Roman"/>
          <w:color w:val="000000" w:themeColor="text1"/>
          <w:sz w:val="24"/>
          <w:szCs w:val="24"/>
        </w:rPr>
        <w:t xml:space="preserve">t. j. </w:t>
      </w:r>
      <w:r w:rsidRPr="00956034">
        <w:rPr>
          <w:rFonts w:ascii="Times New Roman" w:eastAsia="Times New Roman" w:hAnsi="Times New Roman"/>
          <w:color w:val="000000" w:themeColor="text1"/>
          <w:sz w:val="24"/>
          <w:szCs w:val="24"/>
        </w:rPr>
        <w:t>Dz. U. z 20</w:t>
      </w:r>
      <w:r>
        <w:rPr>
          <w:rFonts w:ascii="Times New Roman" w:eastAsia="Times New Roman" w:hAnsi="Times New Roman"/>
          <w:color w:val="000000" w:themeColor="text1"/>
          <w:sz w:val="24"/>
          <w:szCs w:val="24"/>
        </w:rPr>
        <w:t>21</w:t>
      </w:r>
      <w:r w:rsidRPr="00956034">
        <w:rPr>
          <w:rFonts w:ascii="Times New Roman" w:eastAsia="Times New Roman" w:hAnsi="Times New Roman"/>
          <w:color w:val="000000" w:themeColor="text1"/>
          <w:sz w:val="24"/>
          <w:szCs w:val="24"/>
        </w:rPr>
        <w:t xml:space="preserve"> r. poz. </w:t>
      </w:r>
      <w:r>
        <w:rPr>
          <w:rFonts w:ascii="Times New Roman" w:eastAsia="Times New Roman" w:hAnsi="Times New Roman"/>
          <w:color w:val="000000" w:themeColor="text1"/>
          <w:sz w:val="24"/>
          <w:szCs w:val="24"/>
        </w:rPr>
        <w:t>555</w:t>
      </w:r>
      <w:r w:rsidRPr="00956034">
        <w:rPr>
          <w:rFonts w:ascii="Times New Roman" w:eastAsia="Times New Roman" w:hAnsi="Times New Roman"/>
          <w:color w:val="000000" w:themeColor="text1"/>
          <w:sz w:val="24"/>
          <w:szCs w:val="24"/>
        </w:rPr>
        <w:t xml:space="preserve">), </w:t>
      </w:r>
      <w:r w:rsidRPr="00956034">
        <w:rPr>
          <w:rFonts w:ascii="Times New Roman" w:hAnsi="Times New Roman"/>
          <w:color w:val="000000" w:themeColor="text1"/>
          <w:sz w:val="24"/>
          <w:szCs w:val="24"/>
        </w:rPr>
        <w:t xml:space="preserve">107 ustawy </w:t>
      </w:r>
      <w:r w:rsidRPr="00956034">
        <w:rPr>
          <w:rFonts w:ascii="Times New Roman" w:hAnsi="Times New Roman"/>
          <w:color w:val="000000" w:themeColor="text1"/>
          <w:sz w:val="24"/>
          <w:szCs w:val="24"/>
        </w:rPr>
        <w:br/>
        <w:t xml:space="preserve">z dnia 14 czerwca 1960 r. </w:t>
      </w:r>
      <w:r w:rsidRPr="00956034">
        <w:rPr>
          <w:rFonts w:ascii="Times New Roman" w:hAnsi="Times New Roman"/>
          <w:i/>
          <w:color w:val="000000" w:themeColor="text1"/>
          <w:sz w:val="24"/>
          <w:szCs w:val="24"/>
        </w:rPr>
        <w:t>k</w:t>
      </w:r>
      <w:r w:rsidRPr="00956034">
        <w:rPr>
          <w:rFonts w:ascii="Times New Roman" w:hAnsi="Times New Roman"/>
          <w:i/>
          <w:iCs/>
          <w:color w:val="000000" w:themeColor="text1"/>
          <w:sz w:val="24"/>
          <w:szCs w:val="24"/>
        </w:rPr>
        <w:t>odeks postępowania administracyjnego</w:t>
      </w:r>
      <w:r w:rsidRPr="00956034">
        <w:rPr>
          <w:rFonts w:ascii="Times New Roman" w:hAnsi="Times New Roman"/>
          <w:color w:val="000000" w:themeColor="text1"/>
          <w:sz w:val="24"/>
          <w:szCs w:val="24"/>
        </w:rPr>
        <w:t xml:space="preserve"> (</w:t>
      </w:r>
      <w:r>
        <w:rPr>
          <w:rFonts w:ascii="Times New Roman" w:hAnsi="Times New Roman"/>
          <w:color w:val="000000" w:themeColor="text1"/>
          <w:sz w:val="24"/>
          <w:szCs w:val="24"/>
        </w:rPr>
        <w:t>t. j.</w:t>
      </w:r>
      <w:r w:rsidRPr="00956034">
        <w:rPr>
          <w:rFonts w:ascii="Times New Roman" w:hAnsi="Times New Roman"/>
          <w:color w:val="000000" w:themeColor="text1"/>
          <w:sz w:val="24"/>
          <w:szCs w:val="24"/>
        </w:rPr>
        <w:t xml:space="preserve"> Dz. U. z 2022 r. poz. 2000 </w:t>
      </w:r>
      <w:r>
        <w:rPr>
          <w:rFonts w:ascii="Times New Roman" w:hAnsi="Times New Roman"/>
          <w:color w:val="000000" w:themeColor="text1"/>
          <w:sz w:val="24"/>
          <w:szCs w:val="24"/>
        </w:rPr>
        <w:t xml:space="preserve">                   </w:t>
      </w:r>
      <w:r w:rsidRPr="00956034">
        <w:rPr>
          <w:rFonts w:ascii="Times New Roman" w:hAnsi="Times New Roman"/>
          <w:color w:val="000000" w:themeColor="text1"/>
          <w:sz w:val="24"/>
          <w:szCs w:val="24"/>
        </w:rPr>
        <w:t>z późn. zm.), po rozpatrzeniu wniosku ENEA Operator Sp. z o.o. z siedzibą w Poznaniu, w imieniu której działa Pan Bogumił Walec</w:t>
      </w:r>
    </w:p>
    <w:p w14:paraId="1A6CF47B" w14:textId="77777777" w:rsidR="00171E71" w:rsidRPr="00956034" w:rsidRDefault="00171E71" w:rsidP="00493EAB">
      <w:pPr>
        <w:pStyle w:val="Standard"/>
        <w:tabs>
          <w:tab w:val="left" w:pos="733"/>
        </w:tabs>
        <w:spacing w:after="0" w:line="240" w:lineRule="auto"/>
        <w:jc w:val="both"/>
        <w:rPr>
          <w:rFonts w:ascii="Times New Roman" w:hAnsi="Times New Roman"/>
          <w:color w:val="000000" w:themeColor="text1"/>
          <w:sz w:val="24"/>
          <w:szCs w:val="24"/>
        </w:rPr>
      </w:pPr>
    </w:p>
    <w:p w14:paraId="60EBDB23" w14:textId="77777777" w:rsidR="00171E71" w:rsidRPr="00956034" w:rsidRDefault="00171E71" w:rsidP="00493EAB">
      <w:pPr>
        <w:pStyle w:val="Standard"/>
        <w:tabs>
          <w:tab w:val="left" w:pos="733"/>
        </w:tabs>
        <w:spacing w:after="0" w:line="240" w:lineRule="auto"/>
        <w:jc w:val="both"/>
        <w:rPr>
          <w:rFonts w:ascii="Times New Roman" w:hAnsi="Times New Roman"/>
          <w:color w:val="000000" w:themeColor="text1"/>
          <w:sz w:val="24"/>
          <w:szCs w:val="24"/>
        </w:rPr>
      </w:pPr>
    </w:p>
    <w:p w14:paraId="5342C05B" w14:textId="77777777" w:rsidR="00171E71" w:rsidRPr="00956034" w:rsidRDefault="00171E71" w:rsidP="00493EAB">
      <w:pPr>
        <w:pStyle w:val="Standard"/>
        <w:spacing w:after="0" w:line="240" w:lineRule="auto"/>
        <w:jc w:val="center"/>
        <w:rPr>
          <w:rFonts w:ascii="Times New Roman" w:hAnsi="Times New Roman"/>
          <w:b/>
          <w:bCs/>
          <w:color w:val="000000" w:themeColor="text1"/>
          <w:sz w:val="24"/>
          <w:szCs w:val="24"/>
        </w:rPr>
      </w:pPr>
      <w:r w:rsidRPr="00956034">
        <w:rPr>
          <w:rFonts w:ascii="Times New Roman" w:hAnsi="Times New Roman"/>
          <w:b/>
          <w:bCs/>
          <w:color w:val="000000" w:themeColor="text1"/>
          <w:sz w:val="24"/>
          <w:szCs w:val="24"/>
        </w:rPr>
        <w:t>Starosta Goleniowski</w:t>
      </w:r>
    </w:p>
    <w:p w14:paraId="42DA3973" w14:textId="77777777" w:rsidR="00171E71" w:rsidRPr="00956034" w:rsidRDefault="00171E71" w:rsidP="00493EAB">
      <w:pPr>
        <w:pStyle w:val="noindent"/>
        <w:spacing w:before="0" w:after="0" w:line="240" w:lineRule="auto"/>
        <w:jc w:val="center"/>
        <w:rPr>
          <w:color w:val="000000" w:themeColor="text1"/>
        </w:rPr>
      </w:pPr>
      <w:r w:rsidRPr="00956034">
        <w:rPr>
          <w:rStyle w:val="plbx-10x-x-1091"/>
          <w:color w:val="000000" w:themeColor="text1"/>
        </w:rPr>
        <w:t>wykonujący zadanie z zakresu administracji rządowej</w:t>
      </w:r>
    </w:p>
    <w:p w14:paraId="48DADB2D" w14:textId="77777777" w:rsidR="00171E71" w:rsidRPr="00956034" w:rsidRDefault="00171E71" w:rsidP="00493EAB">
      <w:pPr>
        <w:pStyle w:val="noindent"/>
        <w:spacing w:before="0" w:after="0" w:line="240" w:lineRule="auto"/>
        <w:jc w:val="center"/>
        <w:rPr>
          <w:color w:val="000000" w:themeColor="text1"/>
        </w:rPr>
      </w:pPr>
      <w:r w:rsidRPr="00956034">
        <w:rPr>
          <w:rStyle w:val="plbx-10x-x-1091"/>
          <w:color w:val="000000" w:themeColor="text1"/>
        </w:rPr>
        <w:t>orzeka:</w:t>
      </w:r>
    </w:p>
    <w:p w14:paraId="0F17247E" w14:textId="77777777" w:rsidR="00171E71" w:rsidRPr="00956034" w:rsidRDefault="00171E71" w:rsidP="00493EAB">
      <w:pPr>
        <w:pStyle w:val="noindent"/>
        <w:spacing w:before="0" w:after="0" w:line="240" w:lineRule="auto"/>
        <w:jc w:val="center"/>
        <w:rPr>
          <w:color w:val="000000" w:themeColor="text1"/>
        </w:rPr>
      </w:pPr>
    </w:p>
    <w:p w14:paraId="05DFB2C5" w14:textId="77777777" w:rsidR="00171E71" w:rsidRPr="00171E71" w:rsidRDefault="00171E71" w:rsidP="00493EAB">
      <w:pPr>
        <w:pStyle w:val="Standard"/>
        <w:numPr>
          <w:ilvl w:val="0"/>
          <w:numId w:val="8"/>
        </w:numPr>
        <w:tabs>
          <w:tab w:val="left" w:pos="-2966"/>
        </w:tabs>
        <w:spacing w:after="0" w:line="240" w:lineRule="auto"/>
        <w:jc w:val="both"/>
        <w:rPr>
          <w:color w:val="000000" w:themeColor="text1"/>
          <w:highlight w:val="black"/>
        </w:rPr>
      </w:pPr>
      <w:bookmarkStart w:id="0" w:name="Bookmark11"/>
      <w:r w:rsidRPr="00493EAB">
        <w:rPr>
          <w:rFonts w:ascii="Times New Roman" w:eastAsia="Times New Roman" w:hAnsi="Times New Roman"/>
          <w:b/>
          <w:bCs/>
          <w:color w:val="000000" w:themeColor="text1"/>
          <w:sz w:val="24"/>
          <w:szCs w:val="24"/>
        </w:rPr>
        <w:t>ustalić</w:t>
      </w:r>
      <w:r w:rsidRPr="00956034">
        <w:rPr>
          <w:rFonts w:ascii="Times New Roman" w:eastAsia="Times New Roman" w:hAnsi="Times New Roman"/>
          <w:b/>
          <w:bCs/>
          <w:color w:val="000000" w:themeColor="text1"/>
          <w:sz w:val="24"/>
          <w:szCs w:val="24"/>
        </w:rPr>
        <w:t xml:space="preserve"> odszkodowanie</w:t>
      </w:r>
      <w:r w:rsidRPr="00956034">
        <w:rPr>
          <w:rFonts w:ascii="Times New Roman" w:eastAsia="Times New Roman" w:hAnsi="Times New Roman"/>
          <w:color w:val="000000" w:themeColor="text1"/>
          <w:sz w:val="24"/>
          <w:szCs w:val="24"/>
        </w:rPr>
        <w:t xml:space="preserve"> </w:t>
      </w:r>
      <w:r w:rsidRPr="00F637A6">
        <w:rPr>
          <w:rFonts w:ascii="Times New Roman" w:eastAsia="Times New Roman" w:hAnsi="Times New Roman"/>
          <w:b/>
          <w:bCs/>
          <w:color w:val="000000" w:themeColor="text1"/>
          <w:sz w:val="24"/>
          <w:szCs w:val="24"/>
        </w:rPr>
        <w:t>pieniężne</w:t>
      </w:r>
      <w:r>
        <w:rPr>
          <w:rFonts w:ascii="Times New Roman" w:eastAsia="Times New Roman" w:hAnsi="Times New Roman"/>
          <w:b/>
          <w:bCs/>
          <w:color w:val="000000" w:themeColor="text1"/>
          <w:sz w:val="24"/>
          <w:szCs w:val="24"/>
        </w:rPr>
        <w:t>,</w:t>
      </w:r>
      <w:r w:rsidRPr="00F637A6">
        <w:rPr>
          <w:rFonts w:ascii="Times New Roman" w:eastAsia="Times New Roman" w:hAnsi="Times New Roman"/>
          <w:b/>
          <w:color w:val="000000" w:themeColor="text1"/>
          <w:sz w:val="24"/>
          <w:szCs w:val="24"/>
        </w:rPr>
        <w:t xml:space="preserve"> </w:t>
      </w:r>
      <w:r w:rsidRPr="00956034">
        <w:rPr>
          <w:rFonts w:ascii="Times New Roman" w:eastAsia="Calibri" w:hAnsi="Times New Roman"/>
          <w:color w:val="000000" w:themeColor="text1"/>
          <w:kern w:val="0"/>
          <w:sz w:val="24"/>
          <w:szCs w:val="24"/>
        </w:rPr>
        <w:t xml:space="preserve">w związku z </w:t>
      </w:r>
      <w:r w:rsidRPr="00956034">
        <w:rPr>
          <w:rFonts w:ascii="Times New Roman" w:eastAsia="Calibri" w:hAnsi="Times New Roman"/>
          <w:color w:val="000000" w:themeColor="text1"/>
          <w:kern w:val="0"/>
          <w:sz w:val="24"/>
          <w:szCs w:val="24"/>
          <w:u w:val="single"/>
        </w:rPr>
        <w:t>decyzją Starosty Goleniowskiego z dnia 20 grudnia 2021r., znak: WGN.6853.42.2021.MWR</w:t>
      </w:r>
      <w:r w:rsidRPr="001E1983">
        <w:rPr>
          <w:rFonts w:ascii="Times New Roman" w:eastAsia="Calibri" w:hAnsi="Times New Roman"/>
          <w:color w:val="000000" w:themeColor="text1"/>
          <w:kern w:val="0"/>
          <w:sz w:val="24"/>
          <w:szCs w:val="24"/>
        </w:rPr>
        <w:t xml:space="preserve"> </w:t>
      </w:r>
      <w:r w:rsidRPr="009F0B5A">
        <w:rPr>
          <w:rFonts w:ascii="Times New Roman" w:eastAsia="Calibri" w:hAnsi="Times New Roman"/>
          <w:color w:val="000000" w:themeColor="text1"/>
          <w:kern w:val="0"/>
          <w:sz w:val="24"/>
          <w:szCs w:val="24"/>
        </w:rPr>
        <w:t>-</w:t>
      </w:r>
      <w:r w:rsidRPr="000B7879">
        <w:rPr>
          <w:rFonts w:ascii="Times New Roman" w:eastAsia="Calibri" w:hAnsi="Times New Roman"/>
          <w:color w:val="000000" w:themeColor="text1"/>
          <w:kern w:val="0"/>
          <w:sz w:val="24"/>
          <w:szCs w:val="24"/>
        </w:rPr>
        <w:t xml:space="preserve"> </w:t>
      </w:r>
      <w:r w:rsidRPr="00956034">
        <w:rPr>
          <w:rFonts w:ascii="Times New Roman" w:eastAsia="Calibri" w:hAnsi="Times New Roman"/>
          <w:color w:val="000000" w:themeColor="text1"/>
          <w:kern w:val="0"/>
          <w:sz w:val="24"/>
          <w:szCs w:val="24"/>
        </w:rPr>
        <w:t xml:space="preserve"> zezwalając</w:t>
      </w:r>
      <w:r>
        <w:rPr>
          <w:rFonts w:ascii="Times New Roman" w:eastAsia="Calibri" w:hAnsi="Times New Roman"/>
          <w:color w:val="000000" w:themeColor="text1"/>
          <w:kern w:val="0"/>
          <w:sz w:val="24"/>
          <w:szCs w:val="24"/>
        </w:rPr>
        <w:t>ą</w:t>
      </w:r>
      <w:r w:rsidRPr="00956034">
        <w:rPr>
          <w:rFonts w:ascii="Times New Roman" w:eastAsia="Calibri" w:hAnsi="Times New Roman"/>
          <w:color w:val="000000" w:themeColor="text1"/>
          <w:kern w:val="0"/>
          <w:sz w:val="24"/>
          <w:szCs w:val="24"/>
        </w:rPr>
        <w:t xml:space="preserve"> ENEA Operator Sp. z o.o.                      z siedzibą w Poznaniu, na przebudowę istniejącej napowietrznej linii elektroenergetycznej 110 kV relacji Nowogard – Golczew</w:t>
      </w:r>
      <w:r w:rsidRPr="00956034">
        <w:rPr>
          <w:rFonts w:ascii="Times New Roman" w:eastAsia="Calibri" w:hAnsi="Times New Roman"/>
          <w:bCs/>
          <w:color w:val="000000" w:themeColor="text1"/>
          <w:kern w:val="0"/>
          <w:sz w:val="24"/>
          <w:szCs w:val="24"/>
        </w:rPr>
        <w:t>o,</w:t>
      </w:r>
      <w:r w:rsidRPr="00956034">
        <w:rPr>
          <w:rFonts w:ascii="Times New Roman" w:eastAsia="Calibri" w:hAnsi="Times New Roman"/>
          <w:color w:val="000000" w:themeColor="text1"/>
          <w:kern w:val="0"/>
          <w:sz w:val="24"/>
          <w:szCs w:val="24"/>
        </w:rPr>
        <w:t xml:space="preserve"> na</w:t>
      </w:r>
      <w:r w:rsidRPr="00956034">
        <w:rPr>
          <w:rFonts w:ascii="Times New Roman" w:eastAsia="Calibri" w:hAnsi="Times New Roman"/>
          <w:b/>
          <w:color w:val="000000" w:themeColor="text1"/>
          <w:kern w:val="0"/>
          <w:sz w:val="24"/>
          <w:szCs w:val="24"/>
        </w:rPr>
        <w:t xml:space="preserve"> nieruchomości </w:t>
      </w:r>
      <w:r w:rsidRPr="00956034">
        <w:rPr>
          <w:rFonts w:ascii="Times New Roman" w:eastAsia="Times New Roman" w:hAnsi="Times New Roman"/>
          <w:b/>
          <w:color w:val="000000" w:themeColor="text1"/>
          <w:sz w:val="24"/>
          <w:szCs w:val="24"/>
        </w:rPr>
        <w:t>o nieuregulowanym stanie prawnym</w:t>
      </w:r>
      <w:r w:rsidRPr="00956034">
        <w:rPr>
          <w:rFonts w:ascii="Times New Roman" w:eastAsia="Calibri" w:hAnsi="Times New Roman"/>
          <w:color w:val="000000" w:themeColor="text1"/>
          <w:kern w:val="0"/>
          <w:sz w:val="24"/>
          <w:szCs w:val="24"/>
        </w:rPr>
        <w:t xml:space="preserve">, oznaczonej numerem działki </w:t>
      </w:r>
      <w:r w:rsidRPr="00956034">
        <w:rPr>
          <w:rFonts w:ascii="Times New Roman" w:eastAsia="Calibri" w:hAnsi="Times New Roman"/>
          <w:b/>
          <w:color w:val="000000" w:themeColor="text1"/>
          <w:kern w:val="0"/>
          <w:sz w:val="24"/>
          <w:szCs w:val="24"/>
        </w:rPr>
        <w:t>836/1</w:t>
      </w:r>
      <w:r w:rsidRPr="00956034">
        <w:rPr>
          <w:rFonts w:ascii="Times New Roman" w:eastAsia="Calibri" w:hAnsi="Times New Roman"/>
          <w:color w:val="000000" w:themeColor="text1"/>
          <w:kern w:val="0"/>
          <w:sz w:val="24"/>
          <w:szCs w:val="24"/>
        </w:rPr>
        <w:t xml:space="preserve">, o pow. 0,0947 ha, położonej w obr. </w:t>
      </w:r>
      <w:r w:rsidRPr="00956034">
        <w:rPr>
          <w:rFonts w:ascii="Times New Roman" w:eastAsia="Calibri" w:hAnsi="Times New Roman"/>
          <w:b/>
          <w:color w:val="000000" w:themeColor="text1"/>
          <w:kern w:val="0"/>
          <w:sz w:val="24"/>
          <w:szCs w:val="24"/>
        </w:rPr>
        <w:t>2 miasta Nowogard</w:t>
      </w:r>
      <w:r w:rsidRPr="00956034">
        <w:rPr>
          <w:rFonts w:ascii="Times New Roman" w:eastAsia="Calibri" w:hAnsi="Times New Roman"/>
          <w:color w:val="000000" w:themeColor="text1"/>
          <w:kern w:val="0"/>
          <w:sz w:val="24"/>
          <w:szCs w:val="24"/>
        </w:rPr>
        <w:t xml:space="preserve">, dla której Sąd Rejonowy w Goleniowie prowadzi księgę wieczystą o numerze </w:t>
      </w:r>
      <w:r w:rsidRPr="00171E71">
        <w:rPr>
          <w:rFonts w:ascii="Times New Roman" w:eastAsia="Calibri" w:hAnsi="Times New Roman"/>
          <w:color w:val="000000" w:themeColor="text1"/>
          <w:kern w:val="0"/>
          <w:sz w:val="24"/>
          <w:szCs w:val="24"/>
          <w:highlight w:val="black"/>
        </w:rPr>
        <w:t>SZ1O/00026849/0,</w:t>
      </w:r>
      <w:r w:rsidRPr="00171E71">
        <w:rPr>
          <w:color w:val="000000" w:themeColor="text1"/>
          <w:highlight w:val="black"/>
        </w:rPr>
        <w:t xml:space="preserve"> </w:t>
      </w:r>
    </w:p>
    <w:p w14:paraId="71D9DD7F" w14:textId="77777777" w:rsidR="00171E71" w:rsidRPr="00664FE3" w:rsidRDefault="00171E71" w:rsidP="00493EAB">
      <w:pPr>
        <w:pStyle w:val="Standard"/>
        <w:tabs>
          <w:tab w:val="left" w:pos="-2966"/>
        </w:tabs>
        <w:spacing w:after="0" w:line="240" w:lineRule="auto"/>
        <w:ind w:left="720"/>
        <w:jc w:val="center"/>
        <w:rPr>
          <w:rFonts w:ascii="Times New Roman" w:eastAsia="Times New Roman" w:hAnsi="Times New Roman"/>
          <w:bCs/>
          <w:color w:val="000000" w:themeColor="text1"/>
          <w:sz w:val="24"/>
          <w:szCs w:val="24"/>
        </w:rPr>
      </w:pPr>
      <w:r w:rsidRPr="00664FE3">
        <w:rPr>
          <w:rFonts w:ascii="Times New Roman" w:eastAsia="Times New Roman" w:hAnsi="Times New Roman"/>
          <w:bCs/>
          <w:color w:val="000000" w:themeColor="text1"/>
          <w:sz w:val="24"/>
          <w:szCs w:val="24"/>
        </w:rPr>
        <w:t>w kwocie:</w:t>
      </w:r>
    </w:p>
    <w:p w14:paraId="4E13383D" w14:textId="77777777" w:rsidR="00171E71" w:rsidRPr="000B7879" w:rsidRDefault="00171E71" w:rsidP="00493EAB">
      <w:pPr>
        <w:pStyle w:val="Standard"/>
        <w:tabs>
          <w:tab w:val="left" w:pos="-2966"/>
        </w:tabs>
        <w:spacing w:after="0" w:line="240" w:lineRule="auto"/>
        <w:ind w:left="720"/>
        <w:jc w:val="center"/>
        <w:rPr>
          <w:rFonts w:ascii="Times New Roman" w:eastAsia="Times New Roman" w:hAnsi="Times New Roman"/>
          <w:b/>
          <w:bCs/>
          <w:color w:val="000000" w:themeColor="text1"/>
          <w:sz w:val="28"/>
          <w:szCs w:val="28"/>
        </w:rPr>
      </w:pPr>
      <w:r w:rsidRPr="000B7879">
        <w:rPr>
          <w:rFonts w:ascii="Times New Roman" w:eastAsia="Times New Roman" w:hAnsi="Times New Roman"/>
          <w:b/>
          <w:bCs/>
          <w:color w:val="000000" w:themeColor="text1"/>
          <w:sz w:val="28"/>
          <w:szCs w:val="28"/>
        </w:rPr>
        <w:t>1.291,00 złotych</w:t>
      </w:r>
    </w:p>
    <w:p w14:paraId="5261539A" w14:textId="77777777" w:rsidR="00171E71" w:rsidRPr="00664FE3" w:rsidRDefault="00171E71" w:rsidP="00493EAB">
      <w:pPr>
        <w:pStyle w:val="Standard"/>
        <w:tabs>
          <w:tab w:val="left" w:pos="-2966"/>
        </w:tabs>
        <w:spacing w:after="0" w:line="240" w:lineRule="auto"/>
        <w:ind w:left="720"/>
        <w:jc w:val="center"/>
        <w:rPr>
          <w:color w:val="000000" w:themeColor="text1"/>
        </w:rPr>
      </w:pPr>
      <w:r w:rsidRPr="00664FE3">
        <w:rPr>
          <w:rFonts w:ascii="Times New Roman" w:eastAsia="Times New Roman" w:hAnsi="Times New Roman"/>
          <w:i/>
          <w:iCs/>
          <w:color w:val="000000" w:themeColor="text1"/>
          <w:sz w:val="24"/>
          <w:szCs w:val="24"/>
        </w:rPr>
        <w:t>(słownie: jeden tysiąc dwieście dziewięćdziesiąt jeden złotych 00/100),</w:t>
      </w:r>
    </w:p>
    <w:p w14:paraId="7AD113CF" w14:textId="77777777" w:rsidR="00171E71" w:rsidRDefault="00171E71" w:rsidP="00493EAB">
      <w:pPr>
        <w:pStyle w:val="Standard"/>
        <w:tabs>
          <w:tab w:val="left" w:pos="-2966"/>
        </w:tabs>
        <w:spacing w:after="0" w:line="240" w:lineRule="auto"/>
        <w:jc w:val="both"/>
        <w:rPr>
          <w:color w:val="000000" w:themeColor="text1"/>
        </w:rPr>
      </w:pPr>
    </w:p>
    <w:p w14:paraId="41F1D65F" w14:textId="77777777" w:rsidR="00171E71" w:rsidRDefault="00171E71" w:rsidP="00493EAB">
      <w:pPr>
        <w:pStyle w:val="Standard"/>
        <w:tabs>
          <w:tab w:val="left" w:pos="-2966"/>
        </w:tabs>
        <w:spacing w:after="0" w:line="240" w:lineRule="auto"/>
        <w:ind w:left="720"/>
        <w:jc w:val="center"/>
        <w:rPr>
          <w:color w:val="000000" w:themeColor="text1"/>
        </w:rPr>
      </w:pPr>
      <w:r>
        <w:rPr>
          <w:rFonts w:ascii="Times New Roman" w:hAnsi="Times New Roman"/>
          <w:b/>
        </w:rPr>
        <w:t>na rzecz</w:t>
      </w:r>
      <w:bookmarkStart w:id="1" w:name="Bookmark"/>
      <w:bookmarkEnd w:id="0"/>
      <w:r>
        <w:rPr>
          <w:rFonts w:ascii="Times New Roman" w:hAnsi="Times New Roman"/>
          <w:b/>
        </w:rPr>
        <w:t>:</w:t>
      </w:r>
    </w:p>
    <w:p w14:paraId="75B9E32F" w14:textId="77777777" w:rsidR="00171E71" w:rsidRPr="00956034" w:rsidRDefault="00171E71" w:rsidP="00493EAB">
      <w:pPr>
        <w:pStyle w:val="ng-scope"/>
        <w:shd w:val="clear" w:color="auto" w:fill="FFFFFF"/>
        <w:spacing w:before="0" w:beforeAutospacing="0" w:after="0" w:afterAutospacing="0"/>
        <w:ind w:left="993" w:hanging="273"/>
        <w:jc w:val="both"/>
        <w:rPr>
          <w:color w:val="000000" w:themeColor="text1"/>
        </w:rPr>
      </w:pPr>
      <w:r w:rsidRPr="00956034">
        <w:rPr>
          <w:color w:val="000000" w:themeColor="text1"/>
        </w:rPr>
        <w:t xml:space="preserve">- </w:t>
      </w:r>
      <w:r w:rsidRPr="00171E71">
        <w:rPr>
          <w:b/>
          <w:bCs/>
          <w:color w:val="000000" w:themeColor="text1"/>
          <w:highlight w:val="black"/>
        </w:rPr>
        <w:t>Gminy Nowogard</w:t>
      </w:r>
      <w:r w:rsidRPr="00956034">
        <w:rPr>
          <w:color w:val="000000" w:themeColor="text1"/>
        </w:rPr>
        <w:t xml:space="preserve">, </w:t>
      </w:r>
      <w:r w:rsidRPr="007C797A">
        <w:rPr>
          <w:b/>
          <w:color w:val="000000" w:themeColor="text1"/>
        </w:rPr>
        <w:t xml:space="preserve">w wysokości </w:t>
      </w:r>
      <w:r w:rsidRPr="00171E71">
        <w:rPr>
          <w:b/>
          <w:color w:val="000000" w:themeColor="text1"/>
          <w:highlight w:val="black"/>
        </w:rPr>
        <w:t>129,10</w:t>
      </w:r>
      <w:r w:rsidRPr="007C797A">
        <w:rPr>
          <w:b/>
          <w:color w:val="000000" w:themeColor="text1"/>
        </w:rPr>
        <w:t xml:space="preserve"> zł</w:t>
      </w:r>
      <w:r w:rsidRPr="00956034">
        <w:rPr>
          <w:color w:val="000000" w:themeColor="text1"/>
        </w:rPr>
        <w:t xml:space="preserve"> (słownie: </w:t>
      </w:r>
      <w:r w:rsidRPr="00171E71">
        <w:rPr>
          <w:color w:val="000000" w:themeColor="text1"/>
          <w:highlight w:val="black"/>
        </w:rPr>
        <w:t>sto dwadzieścia dziewięć złotych 10/100</w:t>
      </w:r>
      <w:r w:rsidRPr="00956034">
        <w:rPr>
          <w:color w:val="000000" w:themeColor="text1"/>
        </w:rPr>
        <w:t>),</w:t>
      </w:r>
      <w:r>
        <w:rPr>
          <w:color w:val="000000" w:themeColor="text1"/>
        </w:rPr>
        <w:t xml:space="preserve"> za udział</w:t>
      </w:r>
      <w:r w:rsidRPr="00956034">
        <w:rPr>
          <w:color w:val="000000" w:themeColor="text1"/>
        </w:rPr>
        <w:t xml:space="preserve"> 10/100</w:t>
      </w:r>
      <w:r>
        <w:rPr>
          <w:color w:val="000000" w:themeColor="text1"/>
        </w:rPr>
        <w:t xml:space="preserve"> części, </w:t>
      </w:r>
    </w:p>
    <w:p w14:paraId="774D78C2" w14:textId="77777777" w:rsidR="00171E71" w:rsidRPr="00956034" w:rsidRDefault="00171E71" w:rsidP="00493EAB">
      <w:pPr>
        <w:pStyle w:val="ng-scope"/>
        <w:shd w:val="clear" w:color="auto" w:fill="FFFFFF"/>
        <w:spacing w:before="0" w:beforeAutospacing="0" w:after="0" w:afterAutospacing="0"/>
        <w:ind w:left="993" w:hanging="273"/>
        <w:jc w:val="both"/>
        <w:rPr>
          <w:color w:val="000000" w:themeColor="text1"/>
        </w:rPr>
      </w:pPr>
      <w:r>
        <w:rPr>
          <w:color w:val="000000" w:themeColor="text1"/>
        </w:rPr>
        <w:t xml:space="preserve">- </w:t>
      </w:r>
      <w:r w:rsidRPr="00171E71">
        <w:rPr>
          <w:b/>
          <w:bCs/>
          <w:color w:val="000000" w:themeColor="text1"/>
          <w:highlight w:val="black"/>
        </w:rPr>
        <w:t>Aurelii Banasiak</w:t>
      </w:r>
      <w:r w:rsidRPr="00956034">
        <w:rPr>
          <w:color w:val="000000" w:themeColor="text1"/>
        </w:rPr>
        <w:t xml:space="preserve">, </w:t>
      </w:r>
      <w:r w:rsidRPr="007C797A">
        <w:rPr>
          <w:b/>
          <w:color w:val="000000" w:themeColor="text1"/>
        </w:rPr>
        <w:t xml:space="preserve">w wysokości </w:t>
      </w:r>
      <w:r w:rsidRPr="00171E71">
        <w:rPr>
          <w:b/>
          <w:color w:val="000000" w:themeColor="text1"/>
          <w:highlight w:val="black"/>
        </w:rPr>
        <w:t>258,20</w:t>
      </w:r>
      <w:r w:rsidRPr="007C797A">
        <w:rPr>
          <w:b/>
          <w:color w:val="000000" w:themeColor="text1"/>
        </w:rPr>
        <w:t xml:space="preserve"> zł</w:t>
      </w:r>
      <w:r>
        <w:rPr>
          <w:color w:val="000000" w:themeColor="text1"/>
        </w:rPr>
        <w:t xml:space="preserve"> (słownie</w:t>
      </w:r>
      <w:r w:rsidRPr="00171E71">
        <w:rPr>
          <w:color w:val="000000" w:themeColor="text1"/>
          <w:highlight w:val="black"/>
        </w:rPr>
        <w:t>: dwieście pięćdziesiąt osiem złotych 20/100</w:t>
      </w:r>
      <w:r w:rsidRPr="00956034">
        <w:rPr>
          <w:color w:val="000000" w:themeColor="text1"/>
        </w:rPr>
        <w:t xml:space="preserve">), </w:t>
      </w:r>
      <w:r>
        <w:rPr>
          <w:color w:val="000000" w:themeColor="text1"/>
        </w:rPr>
        <w:t>za udział</w:t>
      </w:r>
      <w:r w:rsidRPr="00956034">
        <w:rPr>
          <w:color w:val="000000" w:themeColor="text1"/>
        </w:rPr>
        <w:t xml:space="preserve"> </w:t>
      </w:r>
      <w:r>
        <w:rPr>
          <w:color w:val="000000" w:themeColor="text1"/>
        </w:rPr>
        <w:t>2</w:t>
      </w:r>
      <w:r w:rsidRPr="00956034">
        <w:rPr>
          <w:color w:val="000000" w:themeColor="text1"/>
        </w:rPr>
        <w:t>0/100</w:t>
      </w:r>
      <w:r>
        <w:rPr>
          <w:color w:val="000000" w:themeColor="text1"/>
        </w:rPr>
        <w:t xml:space="preserve"> części, </w:t>
      </w:r>
    </w:p>
    <w:p w14:paraId="721E9FE3" w14:textId="77777777" w:rsidR="00171E71" w:rsidRPr="00956034" w:rsidRDefault="00171E71" w:rsidP="00493EAB">
      <w:pPr>
        <w:pStyle w:val="ng-scope"/>
        <w:shd w:val="clear" w:color="auto" w:fill="FFFFFF"/>
        <w:spacing w:before="0" w:beforeAutospacing="0" w:after="0" w:afterAutospacing="0"/>
        <w:ind w:left="993" w:hanging="273"/>
        <w:jc w:val="both"/>
        <w:rPr>
          <w:color w:val="000000" w:themeColor="text1"/>
        </w:rPr>
      </w:pPr>
      <w:r w:rsidRPr="00956034">
        <w:rPr>
          <w:color w:val="000000" w:themeColor="text1"/>
        </w:rPr>
        <w:t xml:space="preserve">- </w:t>
      </w:r>
      <w:r w:rsidRPr="00171E71">
        <w:rPr>
          <w:b/>
          <w:bCs/>
          <w:color w:val="000000" w:themeColor="text1"/>
          <w:highlight w:val="black"/>
        </w:rPr>
        <w:t>Małgorzaty Grudzińskiej</w:t>
      </w:r>
      <w:r>
        <w:rPr>
          <w:color w:val="000000" w:themeColor="text1"/>
        </w:rPr>
        <w:t xml:space="preserve">, </w:t>
      </w:r>
      <w:r w:rsidRPr="007C797A">
        <w:rPr>
          <w:b/>
          <w:color w:val="000000" w:themeColor="text1"/>
        </w:rPr>
        <w:t xml:space="preserve">w wysokości </w:t>
      </w:r>
      <w:r w:rsidRPr="00171E71">
        <w:rPr>
          <w:b/>
          <w:color w:val="000000" w:themeColor="text1"/>
          <w:highlight w:val="black"/>
        </w:rPr>
        <w:t>232,38</w:t>
      </w:r>
      <w:r w:rsidRPr="007C797A">
        <w:rPr>
          <w:b/>
          <w:color w:val="000000" w:themeColor="text1"/>
        </w:rPr>
        <w:t xml:space="preserve"> zł</w:t>
      </w:r>
      <w:r w:rsidRPr="00956034">
        <w:rPr>
          <w:color w:val="000000" w:themeColor="text1"/>
        </w:rPr>
        <w:t xml:space="preserve"> (słownie: </w:t>
      </w:r>
      <w:r w:rsidRPr="00171E71">
        <w:rPr>
          <w:color w:val="000000" w:themeColor="text1"/>
          <w:highlight w:val="black"/>
        </w:rPr>
        <w:t>dwieście trzydzieści dwa złote 38/100</w:t>
      </w:r>
      <w:r w:rsidRPr="00956034">
        <w:rPr>
          <w:color w:val="000000" w:themeColor="text1"/>
        </w:rPr>
        <w:t>),</w:t>
      </w:r>
      <w:r>
        <w:rPr>
          <w:color w:val="000000" w:themeColor="text1"/>
        </w:rPr>
        <w:t xml:space="preserve"> za udział 18</w:t>
      </w:r>
      <w:r w:rsidRPr="00956034">
        <w:rPr>
          <w:color w:val="000000" w:themeColor="text1"/>
        </w:rPr>
        <w:t>/100 części</w:t>
      </w:r>
      <w:r>
        <w:rPr>
          <w:color w:val="000000" w:themeColor="text1"/>
        </w:rPr>
        <w:t xml:space="preserve">, </w:t>
      </w:r>
    </w:p>
    <w:p w14:paraId="1BE8B995" w14:textId="77777777" w:rsidR="00171E71" w:rsidRPr="007C797A" w:rsidRDefault="00171E71" w:rsidP="00493EAB">
      <w:pPr>
        <w:pStyle w:val="ng-scope"/>
        <w:shd w:val="clear" w:color="auto" w:fill="FFFFFF"/>
        <w:spacing w:before="0" w:beforeAutospacing="0" w:after="0" w:afterAutospacing="0"/>
        <w:ind w:left="993" w:hanging="273"/>
        <w:jc w:val="both"/>
        <w:rPr>
          <w:b/>
          <w:color w:val="000000" w:themeColor="text1"/>
        </w:rPr>
      </w:pPr>
      <w:r>
        <w:rPr>
          <w:color w:val="000000" w:themeColor="text1"/>
        </w:rPr>
        <w:t xml:space="preserve">- </w:t>
      </w:r>
      <w:r w:rsidRPr="00171E71">
        <w:rPr>
          <w:b/>
          <w:color w:val="000000" w:themeColor="text1"/>
          <w:highlight w:val="black"/>
        </w:rPr>
        <w:t>Adama Milewskiego i Marii Milewskiej</w:t>
      </w:r>
      <w:r w:rsidRPr="007C797A">
        <w:rPr>
          <w:b/>
          <w:color w:val="000000" w:themeColor="text1"/>
        </w:rPr>
        <w:t xml:space="preserve"> </w:t>
      </w:r>
      <w:r w:rsidRPr="007C797A">
        <w:rPr>
          <w:bCs/>
        </w:rPr>
        <w:t>(wspólność ustawowa majątkowa małżeńska)</w:t>
      </w:r>
      <w:r w:rsidRPr="007C797A">
        <w:rPr>
          <w:b/>
          <w:color w:val="000000" w:themeColor="text1"/>
        </w:rPr>
        <w:t xml:space="preserve"> </w:t>
      </w:r>
      <w:r>
        <w:rPr>
          <w:b/>
          <w:color w:val="000000" w:themeColor="text1"/>
        </w:rPr>
        <w:t xml:space="preserve">                  w wysokości </w:t>
      </w:r>
      <w:r w:rsidRPr="00171E71">
        <w:rPr>
          <w:b/>
          <w:color w:val="000000" w:themeColor="text1"/>
          <w:highlight w:val="black"/>
        </w:rPr>
        <w:t>180,74</w:t>
      </w:r>
      <w:r w:rsidRPr="00015671">
        <w:rPr>
          <w:b/>
          <w:color w:val="000000" w:themeColor="text1"/>
        </w:rPr>
        <w:t xml:space="preserve"> zł</w:t>
      </w:r>
      <w:r w:rsidRPr="00956034">
        <w:rPr>
          <w:color w:val="000000" w:themeColor="text1"/>
        </w:rPr>
        <w:t xml:space="preserve"> (słownie: </w:t>
      </w:r>
      <w:r w:rsidRPr="00171E71">
        <w:rPr>
          <w:color w:val="000000" w:themeColor="text1"/>
          <w:highlight w:val="black"/>
        </w:rPr>
        <w:t>sto osiemdziesiąt złotych 74/100</w:t>
      </w:r>
      <w:r>
        <w:rPr>
          <w:color w:val="000000" w:themeColor="text1"/>
        </w:rPr>
        <w:t>) za udział 14/100 części,</w:t>
      </w:r>
      <w:r w:rsidRPr="00956034">
        <w:rPr>
          <w:color w:val="000000" w:themeColor="text1"/>
        </w:rPr>
        <w:t xml:space="preserve"> </w:t>
      </w:r>
    </w:p>
    <w:p w14:paraId="4A24552E" w14:textId="77777777" w:rsidR="00171E71" w:rsidRDefault="00171E71" w:rsidP="00493EAB">
      <w:pPr>
        <w:pStyle w:val="ng-scope"/>
        <w:shd w:val="clear" w:color="auto" w:fill="FFFFFF"/>
        <w:spacing w:before="0" w:beforeAutospacing="0" w:after="0" w:afterAutospacing="0"/>
        <w:ind w:left="993" w:hanging="273"/>
        <w:jc w:val="both"/>
        <w:rPr>
          <w:color w:val="000000" w:themeColor="text1"/>
        </w:rPr>
      </w:pPr>
      <w:r w:rsidRPr="00956034">
        <w:rPr>
          <w:color w:val="000000" w:themeColor="text1"/>
        </w:rPr>
        <w:t xml:space="preserve">- </w:t>
      </w:r>
      <w:r w:rsidRPr="00171E71">
        <w:rPr>
          <w:bCs/>
          <w:color w:val="000000" w:themeColor="text1"/>
          <w:highlight w:val="black"/>
        </w:rPr>
        <w:t>Ireny Rydel</w:t>
      </w:r>
      <w:r w:rsidRPr="00171E71">
        <w:rPr>
          <w:color w:val="000000" w:themeColor="text1"/>
          <w:highlight w:val="black"/>
        </w:rPr>
        <w:t>,</w:t>
      </w:r>
      <w:r w:rsidRPr="00171E71">
        <w:rPr>
          <w:color w:val="000000" w:themeColor="text1"/>
        </w:rPr>
        <w:t xml:space="preserve"> </w:t>
      </w:r>
      <w:r w:rsidRPr="007C797A">
        <w:rPr>
          <w:b/>
          <w:color w:val="000000" w:themeColor="text1"/>
        </w:rPr>
        <w:t xml:space="preserve">w wysokości </w:t>
      </w:r>
      <w:r w:rsidRPr="00171E71">
        <w:rPr>
          <w:b/>
          <w:color w:val="000000" w:themeColor="text1"/>
          <w:highlight w:val="black"/>
        </w:rPr>
        <w:t>258,20</w:t>
      </w:r>
      <w:r w:rsidRPr="007C797A">
        <w:rPr>
          <w:b/>
          <w:color w:val="000000" w:themeColor="text1"/>
        </w:rPr>
        <w:t xml:space="preserve"> zł</w:t>
      </w:r>
      <w:r>
        <w:rPr>
          <w:color w:val="000000" w:themeColor="text1"/>
        </w:rPr>
        <w:t xml:space="preserve"> (słownie: </w:t>
      </w:r>
      <w:r w:rsidRPr="00171E71">
        <w:rPr>
          <w:color w:val="000000" w:themeColor="text1"/>
          <w:highlight w:val="black"/>
        </w:rPr>
        <w:t>dwieście pięćdziesiąt osiem złotych 20/100</w:t>
      </w:r>
      <w:r w:rsidRPr="00956034">
        <w:rPr>
          <w:color w:val="000000" w:themeColor="text1"/>
        </w:rPr>
        <w:t>),</w:t>
      </w:r>
      <w:r>
        <w:rPr>
          <w:color w:val="000000" w:themeColor="text1"/>
        </w:rPr>
        <w:t xml:space="preserve"> </w:t>
      </w:r>
      <w:r w:rsidRPr="00DF02A4">
        <w:rPr>
          <w:color w:val="000000" w:themeColor="text1"/>
        </w:rPr>
        <w:t>za udział 20/100 części,</w:t>
      </w:r>
    </w:p>
    <w:p w14:paraId="6EE4AD8F" w14:textId="77777777" w:rsidR="00171E71" w:rsidRPr="00DF02A4" w:rsidRDefault="00171E71" w:rsidP="00493EAB">
      <w:pPr>
        <w:pStyle w:val="ng-scope"/>
        <w:shd w:val="clear" w:color="auto" w:fill="FFFFFF"/>
        <w:spacing w:before="0" w:beforeAutospacing="0" w:after="0" w:afterAutospacing="0"/>
        <w:ind w:left="993" w:hanging="273"/>
        <w:jc w:val="both"/>
        <w:rPr>
          <w:color w:val="000000" w:themeColor="text1"/>
        </w:rPr>
      </w:pPr>
      <w:r>
        <w:rPr>
          <w:color w:val="000000" w:themeColor="text1"/>
        </w:rPr>
        <w:t xml:space="preserve">- </w:t>
      </w:r>
      <w:r w:rsidRPr="00DF02A4">
        <w:rPr>
          <w:b/>
          <w:color w:val="000000" w:themeColor="text1"/>
        </w:rPr>
        <w:t>następców prawnych</w:t>
      </w:r>
      <w:r w:rsidRPr="00DF02A4">
        <w:rPr>
          <w:color w:val="000000" w:themeColor="text1"/>
        </w:rPr>
        <w:t xml:space="preserve"> po</w:t>
      </w:r>
      <w:r w:rsidRPr="00DF02A4">
        <w:t xml:space="preserve"> zmarłym </w:t>
      </w:r>
      <w:r w:rsidRPr="00DF02A4">
        <w:rPr>
          <w:b/>
          <w:bCs/>
        </w:rPr>
        <w:t>Ryszardzie Królikowskim,</w:t>
      </w:r>
      <w:r w:rsidRPr="00DF02A4">
        <w:t xml:space="preserve"> </w:t>
      </w:r>
      <w:r w:rsidRPr="00DF02A4">
        <w:rPr>
          <w:b/>
        </w:rPr>
        <w:t>w wysokości</w:t>
      </w:r>
      <w:r w:rsidRPr="00DF02A4">
        <w:t xml:space="preserve"> </w:t>
      </w:r>
      <w:r w:rsidRPr="00171E71">
        <w:rPr>
          <w:b/>
          <w:color w:val="000000" w:themeColor="text1"/>
          <w:highlight w:val="black"/>
        </w:rPr>
        <w:t>232,38</w:t>
      </w:r>
      <w:r w:rsidRPr="00DF02A4">
        <w:rPr>
          <w:b/>
          <w:color w:val="000000" w:themeColor="text1"/>
        </w:rPr>
        <w:t xml:space="preserve"> zł</w:t>
      </w:r>
      <w:r w:rsidRPr="00DF02A4">
        <w:rPr>
          <w:color w:val="000000" w:themeColor="text1"/>
        </w:rPr>
        <w:t xml:space="preserve">   </w:t>
      </w:r>
      <w:r>
        <w:rPr>
          <w:color w:val="000000" w:themeColor="text1"/>
        </w:rPr>
        <w:t xml:space="preserve">     </w:t>
      </w:r>
      <w:r w:rsidRPr="00DF02A4">
        <w:rPr>
          <w:color w:val="000000" w:themeColor="text1"/>
        </w:rPr>
        <w:t xml:space="preserve">(słownie: </w:t>
      </w:r>
      <w:r w:rsidRPr="00171E71">
        <w:rPr>
          <w:color w:val="000000" w:themeColor="text1"/>
          <w:highlight w:val="black"/>
        </w:rPr>
        <w:t>dwieście trzydzieści dwa złote 38/100</w:t>
      </w:r>
      <w:r w:rsidRPr="00DF02A4">
        <w:rPr>
          <w:color w:val="000000" w:themeColor="text1"/>
        </w:rPr>
        <w:t>)</w:t>
      </w:r>
      <w:r w:rsidRPr="00DF02A4">
        <w:rPr>
          <w:bCs/>
        </w:rPr>
        <w:t xml:space="preserve"> za udział </w:t>
      </w:r>
      <w:r w:rsidRPr="00DF02A4">
        <w:rPr>
          <w:color w:val="000000" w:themeColor="text1"/>
        </w:rPr>
        <w:t xml:space="preserve">18/100 </w:t>
      </w:r>
      <w:r w:rsidRPr="00DF02A4">
        <w:t xml:space="preserve">części ww. nieruchomości. </w:t>
      </w:r>
    </w:p>
    <w:p w14:paraId="55E33DB6" w14:textId="77777777" w:rsidR="00171E71" w:rsidRDefault="00171E71" w:rsidP="00493EAB">
      <w:pPr>
        <w:pStyle w:val="ng-scope"/>
        <w:shd w:val="clear" w:color="auto" w:fill="FFFFFF"/>
        <w:spacing w:before="0" w:beforeAutospacing="0" w:after="0" w:afterAutospacing="0"/>
        <w:jc w:val="both"/>
        <w:rPr>
          <w:color w:val="000000" w:themeColor="text1"/>
        </w:rPr>
      </w:pPr>
    </w:p>
    <w:bookmarkEnd w:id="1"/>
    <w:p w14:paraId="09C34537" w14:textId="77777777" w:rsidR="00171E71" w:rsidRPr="00AE64C9" w:rsidRDefault="00171E71" w:rsidP="00493EAB">
      <w:pPr>
        <w:pStyle w:val="Standard"/>
        <w:numPr>
          <w:ilvl w:val="0"/>
          <w:numId w:val="1"/>
        </w:numPr>
        <w:tabs>
          <w:tab w:val="left" w:pos="-2966"/>
        </w:tabs>
        <w:spacing w:after="0" w:line="240" w:lineRule="auto"/>
        <w:jc w:val="both"/>
        <w:rPr>
          <w:rFonts w:ascii="Times New Roman" w:hAnsi="Times New Roman"/>
          <w:b/>
          <w:color w:val="000000" w:themeColor="text1"/>
          <w:sz w:val="24"/>
          <w:szCs w:val="24"/>
        </w:rPr>
      </w:pPr>
      <w:r>
        <w:rPr>
          <w:rFonts w:ascii="Times New Roman" w:eastAsia="Times New Roman" w:hAnsi="Times New Roman"/>
          <w:b/>
          <w:bCs/>
          <w:color w:val="000000" w:themeColor="text1"/>
          <w:sz w:val="24"/>
          <w:szCs w:val="24"/>
        </w:rPr>
        <w:t>z</w:t>
      </w:r>
      <w:r w:rsidRPr="00956034">
        <w:rPr>
          <w:rFonts w:ascii="Times New Roman" w:eastAsia="Times New Roman" w:hAnsi="Times New Roman"/>
          <w:b/>
          <w:bCs/>
          <w:color w:val="000000" w:themeColor="text1"/>
          <w:sz w:val="24"/>
          <w:szCs w:val="24"/>
        </w:rPr>
        <w:t xml:space="preserve">obowiązać </w:t>
      </w:r>
      <w:r w:rsidRPr="00015671">
        <w:rPr>
          <w:rFonts w:ascii="Times New Roman" w:eastAsia="Calibri" w:hAnsi="Times New Roman"/>
          <w:b/>
          <w:color w:val="000000" w:themeColor="text1"/>
          <w:kern w:val="0"/>
          <w:sz w:val="24"/>
          <w:szCs w:val="24"/>
        </w:rPr>
        <w:t>ENEA Operator Sp. z o.o. z siedzibą w Poznaniu</w:t>
      </w:r>
      <w:r w:rsidRPr="00956034">
        <w:rPr>
          <w:rFonts w:ascii="Times New Roman" w:eastAsia="Times New Roman" w:hAnsi="Times New Roman"/>
          <w:color w:val="000000" w:themeColor="text1"/>
          <w:sz w:val="24"/>
          <w:szCs w:val="24"/>
        </w:rPr>
        <w:t xml:space="preserve"> </w:t>
      </w:r>
      <w:r>
        <w:rPr>
          <w:rFonts w:ascii="Times New Roman" w:eastAsia="Times New Roman" w:hAnsi="Times New Roman"/>
          <w:color w:val="000000" w:themeColor="text1"/>
          <w:sz w:val="24"/>
          <w:szCs w:val="24"/>
        </w:rPr>
        <w:t xml:space="preserve">do zapłaty odszkodowania wskazanego w pkt 1 tejże </w:t>
      </w:r>
      <w:r>
        <w:rPr>
          <w:rFonts w:ascii="Times New Roman" w:hAnsi="Times New Roman"/>
          <w:sz w:val="24"/>
          <w:szCs w:val="24"/>
        </w:rPr>
        <w:t xml:space="preserve">decyzji, jednorazowo w terminie </w:t>
      </w:r>
      <w:r w:rsidRPr="001E1983">
        <w:rPr>
          <w:rFonts w:ascii="Times New Roman" w:hAnsi="Times New Roman"/>
          <w:b/>
          <w:sz w:val="24"/>
          <w:szCs w:val="24"/>
        </w:rPr>
        <w:t xml:space="preserve">14 dni licząc od dnia, </w:t>
      </w:r>
      <w:r w:rsidRPr="001E1983">
        <w:rPr>
          <w:rFonts w:ascii="Times New Roman" w:hAnsi="Times New Roman"/>
          <w:b/>
          <w:sz w:val="24"/>
          <w:szCs w:val="24"/>
        </w:rPr>
        <w:br/>
        <w:t xml:space="preserve">w którym niniejsza decyzja stanie się ostateczna. </w:t>
      </w:r>
      <w:r>
        <w:rPr>
          <w:rFonts w:ascii="Times New Roman" w:hAnsi="Times New Roman"/>
          <w:b/>
          <w:color w:val="000000" w:themeColor="text1"/>
          <w:sz w:val="24"/>
          <w:szCs w:val="24"/>
        </w:rPr>
        <w:t xml:space="preserve"> </w:t>
      </w:r>
      <w:r w:rsidRPr="00AE64C9">
        <w:rPr>
          <w:rFonts w:ascii="Times New Roman" w:hAnsi="Times New Roman"/>
          <w:sz w:val="24"/>
          <w:szCs w:val="24"/>
        </w:rPr>
        <w:t xml:space="preserve">Kwotę w wysokości </w:t>
      </w:r>
      <w:r w:rsidRPr="00171E71">
        <w:rPr>
          <w:rFonts w:ascii="Times New Roman" w:hAnsi="Times New Roman"/>
          <w:sz w:val="24"/>
          <w:szCs w:val="24"/>
          <w:highlight w:val="black"/>
        </w:rPr>
        <w:t>232,38</w:t>
      </w:r>
      <w:r w:rsidRPr="00AE64C9">
        <w:rPr>
          <w:rFonts w:ascii="Times New Roman" w:hAnsi="Times New Roman"/>
          <w:sz w:val="24"/>
          <w:szCs w:val="24"/>
        </w:rPr>
        <w:t xml:space="preserve"> zł </w:t>
      </w:r>
      <w:r w:rsidRPr="00AE64C9">
        <w:rPr>
          <w:rFonts w:ascii="Times New Roman" w:hAnsi="Times New Roman"/>
          <w:color w:val="000000" w:themeColor="text1"/>
          <w:sz w:val="24"/>
          <w:szCs w:val="24"/>
        </w:rPr>
        <w:t xml:space="preserve">(słownie: </w:t>
      </w:r>
      <w:r w:rsidRPr="00171E71">
        <w:rPr>
          <w:rFonts w:ascii="Times New Roman" w:hAnsi="Times New Roman"/>
          <w:color w:val="000000" w:themeColor="text1"/>
          <w:sz w:val="24"/>
          <w:szCs w:val="24"/>
          <w:highlight w:val="black"/>
        </w:rPr>
        <w:t>dwieście trzydzieści dwa złote 38/100</w:t>
      </w:r>
      <w:r w:rsidRPr="00AE64C9">
        <w:rPr>
          <w:rFonts w:ascii="Times New Roman" w:hAnsi="Times New Roman"/>
          <w:color w:val="000000" w:themeColor="text1"/>
          <w:sz w:val="24"/>
          <w:szCs w:val="24"/>
        </w:rPr>
        <w:t>)</w:t>
      </w:r>
      <w:r w:rsidRPr="00AE64C9">
        <w:rPr>
          <w:rFonts w:ascii="Times New Roman" w:hAnsi="Times New Roman"/>
          <w:bCs/>
          <w:sz w:val="24"/>
          <w:szCs w:val="24"/>
        </w:rPr>
        <w:t xml:space="preserve"> po zmarłym Ryszardzie Królikowskim za udział </w:t>
      </w:r>
      <w:r w:rsidRPr="00AE64C9">
        <w:rPr>
          <w:rFonts w:ascii="Times New Roman" w:hAnsi="Times New Roman"/>
          <w:bCs/>
          <w:sz w:val="24"/>
          <w:szCs w:val="24"/>
        </w:rPr>
        <w:lastRenderedPageBreak/>
        <w:t xml:space="preserve">38/100 </w:t>
      </w:r>
      <w:r w:rsidRPr="00AE64C9">
        <w:rPr>
          <w:rFonts w:ascii="Times New Roman" w:hAnsi="Times New Roman"/>
          <w:sz w:val="24"/>
          <w:szCs w:val="24"/>
        </w:rPr>
        <w:t xml:space="preserve">należy przekazać </w:t>
      </w:r>
      <w:r w:rsidRPr="00AE64C9">
        <w:rPr>
          <w:rFonts w:ascii="Times New Roman" w:hAnsi="Times New Roman"/>
          <w:b/>
          <w:sz w:val="24"/>
          <w:szCs w:val="24"/>
        </w:rPr>
        <w:t>do depozytu sądowego na okres 10 lat w terminie 14 dni od dnia, w którym niniejsza decyzja stanie się ostateczna.</w:t>
      </w:r>
    </w:p>
    <w:p w14:paraId="2342F725" w14:textId="77777777" w:rsidR="00171E71" w:rsidRDefault="00171E71" w:rsidP="00493EAB">
      <w:pPr>
        <w:pStyle w:val="Standard"/>
        <w:tabs>
          <w:tab w:val="left" w:pos="-2966"/>
        </w:tabs>
        <w:spacing w:after="0" w:line="240" w:lineRule="auto"/>
        <w:ind w:left="720"/>
        <w:jc w:val="both"/>
        <w:rPr>
          <w:rFonts w:ascii="Times New Roman" w:hAnsi="Times New Roman"/>
          <w:sz w:val="24"/>
          <w:szCs w:val="24"/>
        </w:rPr>
      </w:pPr>
    </w:p>
    <w:p w14:paraId="5B1007B4" w14:textId="77777777" w:rsidR="00171E71" w:rsidRPr="00956034" w:rsidRDefault="00171E71" w:rsidP="00493EAB">
      <w:pPr>
        <w:pStyle w:val="Standard"/>
        <w:tabs>
          <w:tab w:val="center" w:pos="4844"/>
          <w:tab w:val="left" w:pos="6577"/>
        </w:tabs>
        <w:spacing w:after="0" w:line="240" w:lineRule="auto"/>
        <w:rPr>
          <w:rFonts w:ascii="Times New Roman" w:hAnsi="Times New Roman"/>
          <w:b/>
          <w:color w:val="000000" w:themeColor="text1"/>
          <w:sz w:val="24"/>
          <w:szCs w:val="24"/>
        </w:rPr>
      </w:pPr>
      <w:r w:rsidRPr="00956034">
        <w:rPr>
          <w:rFonts w:ascii="Times New Roman" w:hAnsi="Times New Roman"/>
          <w:b/>
          <w:color w:val="000000" w:themeColor="text1"/>
          <w:sz w:val="24"/>
          <w:szCs w:val="24"/>
        </w:rPr>
        <w:tab/>
        <w:t>U Z A S A D N I E N I E</w:t>
      </w:r>
      <w:r w:rsidRPr="00956034">
        <w:rPr>
          <w:rFonts w:ascii="Times New Roman" w:hAnsi="Times New Roman"/>
          <w:b/>
          <w:color w:val="000000" w:themeColor="text1"/>
          <w:sz w:val="24"/>
          <w:szCs w:val="24"/>
        </w:rPr>
        <w:tab/>
      </w:r>
    </w:p>
    <w:p w14:paraId="11046640" w14:textId="77777777" w:rsidR="00171E71" w:rsidRPr="00956034" w:rsidRDefault="00171E71" w:rsidP="00493EAB">
      <w:pPr>
        <w:pStyle w:val="Standard"/>
        <w:spacing w:after="0" w:line="240" w:lineRule="auto"/>
        <w:rPr>
          <w:rFonts w:ascii="Times New Roman" w:hAnsi="Times New Roman"/>
          <w:color w:val="000000" w:themeColor="text1"/>
          <w:sz w:val="24"/>
          <w:szCs w:val="24"/>
        </w:rPr>
      </w:pPr>
    </w:p>
    <w:p w14:paraId="70D36144" w14:textId="77777777" w:rsidR="00171E71" w:rsidRPr="00956034" w:rsidRDefault="00171E71" w:rsidP="00493EAB">
      <w:pPr>
        <w:pStyle w:val="Standard"/>
        <w:spacing w:after="0" w:line="240" w:lineRule="auto"/>
        <w:ind w:firstLine="709"/>
        <w:jc w:val="both"/>
        <w:rPr>
          <w:rFonts w:ascii="Times New Roman" w:hAnsi="Times New Roman"/>
          <w:color w:val="000000" w:themeColor="text1"/>
          <w:sz w:val="24"/>
          <w:szCs w:val="24"/>
        </w:rPr>
      </w:pPr>
      <w:r w:rsidRPr="00956034">
        <w:rPr>
          <w:rFonts w:ascii="Times New Roman" w:hAnsi="Times New Roman"/>
          <w:color w:val="000000" w:themeColor="text1"/>
          <w:sz w:val="24"/>
          <w:szCs w:val="24"/>
        </w:rPr>
        <w:t xml:space="preserve">Decyzją z dnia 20 grudnia 2021 r, znak: WGN.6853.42.2021.MWR Starosta Goleniowski -  wykonujący zadanie z zakresu administracji rządowej - ograniczył, w trybie art. 124 ust. 1 ustawy </w:t>
      </w:r>
      <w:r w:rsidRPr="00956034">
        <w:rPr>
          <w:rFonts w:ascii="Times New Roman" w:hAnsi="Times New Roman"/>
          <w:color w:val="000000" w:themeColor="text1"/>
          <w:sz w:val="24"/>
          <w:szCs w:val="24"/>
        </w:rPr>
        <w:br/>
        <w:t xml:space="preserve">z dnia 21 sierpnia 1997 r. </w:t>
      </w:r>
      <w:r w:rsidRPr="00956034">
        <w:rPr>
          <w:rFonts w:ascii="Times New Roman" w:hAnsi="Times New Roman"/>
          <w:i/>
          <w:iCs/>
          <w:color w:val="000000" w:themeColor="text1"/>
          <w:sz w:val="24"/>
          <w:szCs w:val="24"/>
        </w:rPr>
        <w:t>o gospodarce nieruchomościami</w:t>
      </w:r>
      <w:r w:rsidRPr="00956034">
        <w:rPr>
          <w:rFonts w:ascii="Times New Roman" w:hAnsi="Times New Roman"/>
          <w:i/>
          <w:color w:val="000000" w:themeColor="text1"/>
          <w:sz w:val="24"/>
          <w:szCs w:val="24"/>
        </w:rPr>
        <w:t xml:space="preserve">, </w:t>
      </w:r>
      <w:r w:rsidRPr="00956034">
        <w:rPr>
          <w:rFonts w:ascii="Times New Roman" w:hAnsi="Times New Roman"/>
          <w:color w:val="000000" w:themeColor="text1"/>
          <w:sz w:val="24"/>
          <w:szCs w:val="24"/>
        </w:rPr>
        <w:t xml:space="preserve">sposób korzystania z nieruchomości </w:t>
      </w:r>
      <w:r w:rsidRPr="00956034">
        <w:rPr>
          <w:rFonts w:ascii="Times New Roman" w:hAnsi="Times New Roman"/>
          <w:color w:val="000000" w:themeColor="text1"/>
          <w:sz w:val="24"/>
          <w:szCs w:val="24"/>
        </w:rPr>
        <w:br/>
        <w:t xml:space="preserve">o nieuregulowanym stanie prawnym, położonej w obrębie Nowogard - 2, gm. Nowogard, oznaczonej </w:t>
      </w:r>
      <w:r w:rsidRPr="00956034">
        <w:rPr>
          <w:rFonts w:ascii="Times New Roman" w:hAnsi="Times New Roman"/>
          <w:color w:val="000000" w:themeColor="text1"/>
          <w:sz w:val="24"/>
          <w:szCs w:val="24"/>
        </w:rPr>
        <w:br/>
        <w:t xml:space="preserve">w ewidencji gruntów numerem działki 836/1. Ograniczenie polegało na zezwoleniu </w:t>
      </w:r>
      <w:r w:rsidRPr="00956034">
        <w:rPr>
          <w:rFonts w:ascii="Times New Roman" w:eastAsia="Calibri" w:hAnsi="Times New Roman"/>
          <w:color w:val="000000" w:themeColor="text1"/>
          <w:kern w:val="0"/>
          <w:sz w:val="24"/>
          <w:szCs w:val="24"/>
        </w:rPr>
        <w:t>ENEA Operator Sp. z o.o. z siedzibą w Poznaniu</w:t>
      </w:r>
      <w:r w:rsidRPr="00956034">
        <w:rPr>
          <w:rFonts w:ascii="Times New Roman" w:eastAsia="Times New Roman" w:hAnsi="Times New Roman"/>
          <w:color w:val="000000" w:themeColor="text1"/>
          <w:sz w:val="24"/>
          <w:szCs w:val="24"/>
        </w:rPr>
        <w:t xml:space="preserve"> n</w:t>
      </w:r>
      <w:r w:rsidRPr="00956034">
        <w:rPr>
          <w:rFonts w:ascii="Times New Roman" w:hAnsi="Times New Roman"/>
          <w:color w:val="000000" w:themeColor="text1"/>
          <w:sz w:val="24"/>
          <w:szCs w:val="24"/>
        </w:rPr>
        <w:t>a przebudowie istniejącej na nieruchomości napowietrznej linii elektroenergetycznej WN 110 kV relacji Nowogard – Golczewo, polegającej na podwieszeniu napowietrznych przewodów linii, na części nieruchomości w pasie o szerokości 11,5 m o powierzchni zajęcia nieruchomości – 67 m</w:t>
      </w:r>
      <w:r w:rsidRPr="00956034">
        <w:rPr>
          <w:rFonts w:ascii="Times New Roman" w:hAnsi="Times New Roman"/>
          <w:color w:val="000000" w:themeColor="text1"/>
          <w:sz w:val="24"/>
          <w:szCs w:val="24"/>
          <w:vertAlign w:val="superscript"/>
        </w:rPr>
        <w:t>2</w:t>
      </w:r>
      <w:r w:rsidRPr="00956034">
        <w:rPr>
          <w:rFonts w:ascii="Times New Roman" w:hAnsi="Times New Roman"/>
          <w:color w:val="000000" w:themeColor="text1"/>
          <w:sz w:val="24"/>
          <w:szCs w:val="24"/>
        </w:rPr>
        <w:t>. Inwestycja miała charakter celu publicznego.</w:t>
      </w:r>
    </w:p>
    <w:p w14:paraId="78475A7F" w14:textId="77777777" w:rsidR="00171E71" w:rsidRPr="00956034" w:rsidRDefault="00171E71" w:rsidP="00493EAB">
      <w:pPr>
        <w:pStyle w:val="Standard"/>
        <w:spacing w:after="0" w:line="240" w:lineRule="auto"/>
        <w:ind w:firstLine="709"/>
        <w:jc w:val="both"/>
        <w:rPr>
          <w:rFonts w:ascii="Times New Roman" w:hAnsi="Times New Roman"/>
          <w:color w:val="000000" w:themeColor="text1"/>
          <w:sz w:val="24"/>
          <w:szCs w:val="24"/>
        </w:rPr>
      </w:pPr>
      <w:r w:rsidRPr="00956034">
        <w:rPr>
          <w:rFonts w:ascii="Times New Roman" w:hAnsi="Times New Roman"/>
          <w:color w:val="000000" w:themeColor="text1"/>
          <w:sz w:val="24"/>
          <w:szCs w:val="24"/>
        </w:rPr>
        <w:t xml:space="preserve">Wnioskiem z dnia 05 sierpnia 2022 r. inwestor zwrócił się do Starosty Goleniowskiego </w:t>
      </w:r>
      <w:r w:rsidRPr="00956034">
        <w:rPr>
          <w:rFonts w:ascii="Times New Roman" w:hAnsi="Times New Roman"/>
          <w:color w:val="000000" w:themeColor="text1"/>
          <w:sz w:val="24"/>
          <w:szCs w:val="24"/>
        </w:rPr>
        <w:br/>
        <w:t>o ustalenie odszkodowania z tytułu ograniczenia sposobu korzystania z ww. nieruchomości.</w:t>
      </w:r>
    </w:p>
    <w:p w14:paraId="6467B072" w14:textId="77777777" w:rsidR="00171E71" w:rsidRPr="00956034" w:rsidRDefault="00171E71" w:rsidP="00493EAB">
      <w:pPr>
        <w:pStyle w:val="Standard"/>
        <w:spacing w:after="0" w:line="240" w:lineRule="auto"/>
        <w:ind w:firstLine="709"/>
        <w:jc w:val="both"/>
        <w:rPr>
          <w:color w:val="000000" w:themeColor="text1"/>
        </w:rPr>
      </w:pPr>
      <w:r w:rsidRPr="00956034">
        <w:rPr>
          <w:rFonts w:ascii="Times New Roman" w:hAnsi="Times New Roman"/>
          <w:color w:val="000000" w:themeColor="text1"/>
          <w:sz w:val="24"/>
          <w:szCs w:val="24"/>
        </w:rPr>
        <w:t xml:space="preserve">Mając powyższe na uwadze, pismem z dnia 16 września 2020 r. znak WGN.6853.11.2022.MWR </w:t>
      </w:r>
      <w:r w:rsidRPr="00956034">
        <w:rPr>
          <w:rFonts w:ascii="Times New Roman" w:eastAsia="Times New Roman" w:hAnsi="Times New Roman"/>
          <w:color w:val="000000" w:themeColor="text1"/>
          <w:sz w:val="24"/>
          <w:szCs w:val="24"/>
        </w:rPr>
        <w:t>Starosta Goleniowski powiadomił strony o wszczęciu postępowania administracyjnego, w przedmiocie ustalenia odszkodowania. </w:t>
      </w:r>
    </w:p>
    <w:p w14:paraId="78E8FE6C" w14:textId="77777777" w:rsidR="00171E71" w:rsidRPr="00956034" w:rsidRDefault="00171E71" w:rsidP="00493EAB">
      <w:pPr>
        <w:pStyle w:val="Standard"/>
        <w:spacing w:after="0" w:line="240" w:lineRule="auto"/>
        <w:ind w:firstLine="709"/>
        <w:jc w:val="both"/>
        <w:rPr>
          <w:rFonts w:ascii="Times New Roman" w:eastAsia="Times New Roman" w:hAnsi="Times New Roman"/>
          <w:color w:val="000000" w:themeColor="text1"/>
          <w:sz w:val="24"/>
          <w:szCs w:val="24"/>
        </w:rPr>
      </w:pPr>
      <w:r w:rsidRPr="00956034">
        <w:rPr>
          <w:rFonts w:ascii="Times New Roman" w:eastAsia="Times New Roman" w:hAnsi="Times New Roman"/>
          <w:color w:val="000000" w:themeColor="text1"/>
          <w:sz w:val="24"/>
          <w:szCs w:val="24"/>
        </w:rPr>
        <w:t xml:space="preserve">Ponieważ – zgodnie z art. 130 ust. 2 ustawy z dnia 21 sierpnia 1997 roku </w:t>
      </w:r>
      <w:r w:rsidRPr="00956034">
        <w:rPr>
          <w:rFonts w:ascii="Times New Roman" w:eastAsia="Times New Roman" w:hAnsi="Times New Roman"/>
          <w:i/>
          <w:iCs/>
          <w:color w:val="000000" w:themeColor="text1"/>
          <w:sz w:val="24"/>
          <w:szCs w:val="24"/>
        </w:rPr>
        <w:t>o gospodarce nieruchomościami</w:t>
      </w:r>
      <w:r w:rsidRPr="00956034">
        <w:rPr>
          <w:rFonts w:ascii="Times New Roman" w:eastAsia="Times New Roman" w:hAnsi="Times New Roman"/>
          <w:color w:val="000000" w:themeColor="text1"/>
          <w:sz w:val="24"/>
          <w:szCs w:val="24"/>
        </w:rPr>
        <w:t xml:space="preserve"> – ustalenie wysokości odszkodowania następuje po uzyskaniu opinii rzeczoznawcy majątkowego, postanowieniem z dnia 21 września 2022 r. powołano rzeczoznawcę majątkowego Rafała Nowakowskiego, </w:t>
      </w:r>
      <w:r w:rsidRPr="00956034">
        <w:rPr>
          <w:rFonts w:ascii="Times New Roman" w:eastAsia="Times New Roman" w:hAnsi="Times New Roman"/>
          <w:bCs/>
          <w:color w:val="000000" w:themeColor="text1"/>
          <w:sz w:val="24"/>
          <w:szCs w:val="24"/>
        </w:rPr>
        <w:t>numer uprawnień 6087</w:t>
      </w:r>
      <w:r w:rsidRPr="00956034">
        <w:rPr>
          <w:rFonts w:ascii="Times New Roman" w:eastAsia="Times New Roman" w:hAnsi="Times New Roman"/>
          <w:color w:val="000000" w:themeColor="text1"/>
          <w:sz w:val="24"/>
          <w:szCs w:val="24"/>
        </w:rPr>
        <w:t xml:space="preserve">, jako biegłego w postępowaniu o ustalenie odszkodowania dla działki numer 836/1, położonej w obr. </w:t>
      </w:r>
      <w:r>
        <w:rPr>
          <w:rFonts w:ascii="Times New Roman" w:eastAsia="Times New Roman" w:hAnsi="Times New Roman"/>
          <w:color w:val="000000" w:themeColor="text1"/>
          <w:sz w:val="24"/>
          <w:szCs w:val="24"/>
        </w:rPr>
        <w:t>2</w:t>
      </w:r>
      <w:r w:rsidRPr="00956034">
        <w:rPr>
          <w:rFonts w:ascii="Times New Roman" w:eastAsia="Times New Roman" w:hAnsi="Times New Roman"/>
          <w:color w:val="000000" w:themeColor="text1"/>
          <w:sz w:val="24"/>
          <w:szCs w:val="24"/>
        </w:rPr>
        <w:t xml:space="preserve"> miasta Nowogard.</w:t>
      </w:r>
    </w:p>
    <w:p w14:paraId="1D755C7D" w14:textId="77777777" w:rsidR="00171E71" w:rsidRPr="00956034" w:rsidRDefault="00171E71" w:rsidP="00493EAB">
      <w:pPr>
        <w:pStyle w:val="Standard"/>
        <w:spacing w:after="0" w:line="240" w:lineRule="auto"/>
        <w:ind w:firstLine="709"/>
        <w:jc w:val="both"/>
        <w:rPr>
          <w:rFonts w:ascii="Times New Roman" w:eastAsia="Times New Roman" w:hAnsi="Times New Roman"/>
          <w:color w:val="000000" w:themeColor="text1"/>
          <w:sz w:val="24"/>
          <w:szCs w:val="24"/>
        </w:rPr>
      </w:pPr>
      <w:r w:rsidRPr="00956034">
        <w:rPr>
          <w:rFonts w:ascii="Times New Roman" w:hAnsi="Times New Roman"/>
          <w:color w:val="000000" w:themeColor="text1"/>
          <w:sz w:val="24"/>
          <w:szCs w:val="24"/>
        </w:rPr>
        <w:t xml:space="preserve">Powołany biegły </w:t>
      </w:r>
      <w:r w:rsidRPr="00956034">
        <w:rPr>
          <w:rFonts w:ascii="Times New Roman" w:eastAsia="Times New Roman" w:hAnsi="Times New Roman"/>
          <w:color w:val="000000" w:themeColor="text1"/>
          <w:sz w:val="24"/>
          <w:szCs w:val="24"/>
        </w:rPr>
        <w:t>określił wartość szkód na skutek ograniczenia, na kwotę w wysokości                    1.291,00 złotych.</w:t>
      </w:r>
    </w:p>
    <w:p w14:paraId="3A69E693" w14:textId="77777777" w:rsidR="00171E71" w:rsidRPr="00956034" w:rsidRDefault="00171E71" w:rsidP="00493EAB">
      <w:pPr>
        <w:pStyle w:val="Standard"/>
        <w:spacing w:after="0" w:line="240" w:lineRule="auto"/>
        <w:ind w:firstLine="709"/>
        <w:jc w:val="both"/>
        <w:rPr>
          <w:color w:val="000000" w:themeColor="text1"/>
        </w:rPr>
      </w:pPr>
      <w:r w:rsidRPr="00956034">
        <w:rPr>
          <w:rFonts w:ascii="Times New Roman" w:eastAsia="Times New Roman" w:hAnsi="Times New Roman"/>
          <w:color w:val="000000" w:themeColor="text1"/>
          <w:sz w:val="24"/>
          <w:szCs w:val="24"/>
        </w:rPr>
        <w:t xml:space="preserve">Po sporządzeniu przez rzeczoznawcę operatu szacunkowego, pismem z dnia 12 grudnia 2022 r. znak WGN.6853.11.2022.MWR, stosownie do art. 10 § 1 </w:t>
      </w:r>
      <w:r w:rsidRPr="00956034">
        <w:rPr>
          <w:rFonts w:ascii="Times New Roman" w:eastAsia="Times New Roman" w:hAnsi="Times New Roman"/>
          <w:i/>
          <w:iCs/>
          <w:color w:val="000000" w:themeColor="text1"/>
          <w:sz w:val="24"/>
          <w:szCs w:val="24"/>
        </w:rPr>
        <w:t>kodeksu postępowania administracyjnego,</w:t>
      </w:r>
      <w:r w:rsidRPr="00956034">
        <w:rPr>
          <w:rFonts w:ascii="Times New Roman" w:eastAsia="Times New Roman" w:hAnsi="Times New Roman"/>
          <w:color w:val="000000" w:themeColor="text1"/>
          <w:sz w:val="24"/>
          <w:szCs w:val="24"/>
        </w:rPr>
        <w:t xml:space="preserve"> poinformowano strony o możliwości zapoznania się z zebranym dotychczas materiałem dowodowym w sprawie ustalenia odszkodowania, w terminie 7 dni od dnia otrzymania pisma wraz z załączeniem wyciągu z operatu szacunkowego. Strony nie skorzystały z tego prawa</w:t>
      </w:r>
    </w:p>
    <w:p w14:paraId="0BBF73F7" w14:textId="77777777" w:rsidR="00171E71" w:rsidRPr="00956034" w:rsidRDefault="00171E71" w:rsidP="00493EAB">
      <w:pPr>
        <w:pStyle w:val="Standard"/>
        <w:spacing w:after="0" w:line="240" w:lineRule="auto"/>
        <w:jc w:val="both"/>
        <w:rPr>
          <w:rFonts w:ascii="Times New Roman" w:hAnsi="Times New Roman"/>
          <w:b/>
          <w:color w:val="000000" w:themeColor="text1"/>
          <w:sz w:val="24"/>
          <w:szCs w:val="24"/>
        </w:rPr>
      </w:pPr>
    </w:p>
    <w:p w14:paraId="4AD0870C" w14:textId="77777777" w:rsidR="00171E71" w:rsidRPr="00956034" w:rsidRDefault="00171E71" w:rsidP="00493EAB">
      <w:pPr>
        <w:pStyle w:val="Standard"/>
        <w:spacing w:after="0" w:line="240" w:lineRule="auto"/>
        <w:ind w:firstLine="680"/>
        <w:jc w:val="both"/>
        <w:rPr>
          <w:color w:val="000000" w:themeColor="text1"/>
        </w:rPr>
      </w:pPr>
      <w:r w:rsidRPr="00956034">
        <w:rPr>
          <w:rFonts w:ascii="Times New Roman" w:eastAsia="Times New Roman" w:hAnsi="Times New Roman"/>
          <w:b/>
          <w:bCs/>
          <w:color w:val="000000" w:themeColor="text1"/>
          <w:sz w:val="24"/>
          <w:szCs w:val="24"/>
        </w:rPr>
        <w:t>Po przeanalizowaniu całości zgromadzonego w sprawie materiału dowodowego, organ ustalił, co następuje:</w:t>
      </w:r>
    </w:p>
    <w:p w14:paraId="3CD9B9AA" w14:textId="77777777" w:rsidR="00171E71" w:rsidRDefault="00171E71" w:rsidP="00493EAB">
      <w:pPr>
        <w:pStyle w:val="Standard"/>
        <w:spacing w:after="0" w:line="240" w:lineRule="auto"/>
        <w:ind w:firstLine="680"/>
        <w:jc w:val="both"/>
        <w:rPr>
          <w:rFonts w:ascii="Times New Roman" w:eastAsia="Times New Roman" w:hAnsi="Times New Roman"/>
          <w:b/>
          <w:bCs/>
          <w:color w:val="FF0000"/>
          <w:sz w:val="24"/>
          <w:szCs w:val="24"/>
        </w:rPr>
      </w:pPr>
      <w:r w:rsidRPr="0015746B">
        <w:rPr>
          <w:rFonts w:ascii="Times New Roman" w:eastAsia="Times New Roman" w:hAnsi="Times New Roman"/>
          <w:b/>
          <w:bCs/>
          <w:color w:val="FF0000"/>
          <w:sz w:val="24"/>
          <w:szCs w:val="24"/>
        </w:rPr>
        <w:t> </w:t>
      </w:r>
    </w:p>
    <w:p w14:paraId="07B49497"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 xml:space="preserve">Dla rozważań w kwestii ustalenia odszkodowania, przytoczyć należy art. 124 ust. 4, ustawy            z dnia 21 sierpnia 1997 roku </w:t>
      </w:r>
      <w:r>
        <w:rPr>
          <w:rFonts w:ascii="Times New Roman" w:eastAsia="Times New Roman" w:hAnsi="Times New Roman"/>
          <w:i/>
          <w:iCs/>
          <w:color w:val="000000"/>
          <w:sz w:val="24"/>
          <w:szCs w:val="24"/>
        </w:rPr>
        <w:t>o gospodarce nieruchomościami</w:t>
      </w:r>
      <w:r>
        <w:rPr>
          <w:rFonts w:ascii="Times New Roman" w:eastAsia="Times New Roman" w:hAnsi="Times New Roman"/>
          <w:color w:val="000000"/>
          <w:sz w:val="24"/>
          <w:szCs w:val="24"/>
        </w:rPr>
        <w:t>. W myśl tego przepisu, na osobie lub jednostce organizacyjnej występującej o ograniczenie sposobu korzystania z nieruchomości ciąży obowiązek przywrócenia nieruchomości do stanu poprzedniego, niezwłocznie po założeniu lub przeprowadzeniu określonych w tym przepisie ciągów, przewodów i urządzeń. Jeżeli natomiast przywrócenie nieruchomości do stanu poprzedniego jest niemożliwe albo powoduje nadmierne trudności lub koszty, to wówczas stosuje się odpowiednio przepis 128 ust. 4 tej ustawy. Ten ostatni przepis wskazuje, że za szkody - jakie powstały wskutek zdarzeń, o których mowa w art. 120, 124 - 126 - przysługuje odszkodowanie. W dalszej części przepis stanowi, że – jeśli wskutek tych zdarzeń nastąpi zmniejszenie wartości nieruchomości, to odszkodowanie powiększa się o kwotę odpowiadającą temu zmniejszeniu. </w:t>
      </w:r>
    </w:p>
    <w:p w14:paraId="35B51290"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 xml:space="preserve">Z powyższego wynika, więc konkluzja, że, aby możliwe było ustalenie wysokości odszkodowania z tytułu ograniczenia sposobu korzystania z nieruchomości, </w:t>
      </w:r>
      <w:r>
        <w:rPr>
          <w:rFonts w:ascii="Times New Roman" w:eastAsia="Times New Roman" w:hAnsi="Times New Roman"/>
          <w:color w:val="000000"/>
          <w:sz w:val="24"/>
          <w:szCs w:val="24"/>
          <w:u w:val="single"/>
        </w:rPr>
        <w:t>niezbędnym jest wystąpienie zdarzenia, w wyniku którego powstała szkoda lub, z którym wiąże się zmniejszenie wartości nieruchomości</w:t>
      </w:r>
      <w:r>
        <w:rPr>
          <w:rFonts w:ascii="Times New Roman" w:eastAsia="Times New Roman" w:hAnsi="Times New Roman"/>
          <w:color w:val="000000"/>
          <w:sz w:val="24"/>
          <w:szCs w:val="24"/>
        </w:rPr>
        <w:t xml:space="preserve">, a to z kolei, prowadzi do wniosku, że ustalenie odszkodowania może nastąpić dopiero po zakończeniu robót określonych w decyzji ograniczającej. Dopiero wtedy wiadomo jest, jaka </w:t>
      </w:r>
      <w:r>
        <w:rPr>
          <w:rFonts w:ascii="Times New Roman" w:eastAsia="Times New Roman" w:hAnsi="Times New Roman"/>
          <w:color w:val="000000"/>
          <w:sz w:val="24"/>
          <w:szCs w:val="24"/>
        </w:rPr>
        <w:lastRenderedPageBreak/>
        <w:t>jest wartość poniesionych szkód i czy doszło do zmniejszenia wartości nieruchomości (wyrok NSA            z dnia 19 lutego 2014 r. sygn. akt I OSK 1607/12). </w:t>
      </w:r>
    </w:p>
    <w:p w14:paraId="7E95F081" w14:textId="77777777" w:rsidR="00171E71" w:rsidRDefault="00171E71" w:rsidP="00493EAB">
      <w:pPr>
        <w:pStyle w:val="Standard"/>
        <w:shd w:val="clear" w:color="auto" w:fill="FFFFFF"/>
        <w:spacing w:after="0" w:line="240" w:lineRule="auto"/>
        <w:ind w:firstLine="680"/>
        <w:jc w:val="both"/>
      </w:pPr>
      <w:r>
        <w:rPr>
          <w:rFonts w:ascii="Times New Roman" w:eastAsia="Times New Roman" w:hAnsi="Times New Roman"/>
          <w:color w:val="000000"/>
          <w:sz w:val="24"/>
          <w:szCs w:val="24"/>
        </w:rPr>
        <w:t>W tym miejscu należy przytoczyć przepisy § 43 ust. 1-3, rozporządzenia Rady Ministrów </w:t>
      </w:r>
      <w:r>
        <w:rPr>
          <w:rFonts w:ascii="Times New Roman" w:eastAsia="Times New Roman" w:hAnsi="Times New Roman"/>
          <w:color w:val="000000"/>
          <w:sz w:val="24"/>
          <w:szCs w:val="24"/>
        </w:rPr>
        <w:br/>
        <w:t xml:space="preserve">z dnia 21 września 2004 r., </w:t>
      </w:r>
      <w:r>
        <w:rPr>
          <w:rFonts w:ascii="Times New Roman" w:eastAsia="Times New Roman" w:hAnsi="Times New Roman"/>
          <w:i/>
          <w:iCs/>
          <w:color w:val="000000"/>
          <w:sz w:val="24"/>
          <w:szCs w:val="24"/>
        </w:rPr>
        <w:t>w sprawie wyceny nieruchomości i sporządzania operatu szacunkowego</w:t>
      </w:r>
      <w:r>
        <w:rPr>
          <w:rFonts w:ascii="Times New Roman" w:eastAsia="Times New Roman" w:hAnsi="Times New Roman"/>
          <w:color w:val="000000"/>
          <w:sz w:val="24"/>
          <w:szCs w:val="24"/>
        </w:rPr>
        <w:t xml:space="preserve">.             </w:t>
      </w:r>
      <w:r>
        <w:rPr>
          <w:rFonts w:ascii="Times New Roman" w:eastAsia="Times New Roman" w:hAnsi="Times New Roman"/>
          <w:sz w:val="24"/>
          <w:szCs w:val="24"/>
        </w:rPr>
        <w:t>W</w:t>
      </w:r>
      <w:r>
        <w:rPr>
          <w:rFonts w:ascii="Times New Roman" w:eastAsia="Times New Roman" w:hAnsi="Times New Roman"/>
          <w:b/>
          <w:bCs/>
          <w:color w:val="000000"/>
          <w:sz w:val="24"/>
          <w:szCs w:val="24"/>
        </w:rPr>
        <w:t xml:space="preserve"> myśl tych przepisów, odszkodowanie obejmuje</w:t>
      </w:r>
      <w:r>
        <w:rPr>
          <w:rFonts w:ascii="Times New Roman" w:eastAsia="Times New Roman" w:hAnsi="Times New Roman"/>
          <w:color w:val="000000"/>
          <w:sz w:val="24"/>
          <w:szCs w:val="24"/>
        </w:rPr>
        <w:t xml:space="preserve"> zniszczone, a niedoprowadzone do stanu poprzedniego części składowe nieruchomości, utracone korzyści (mogące stanowić np. straty                            w plonach) oraz ewentualne zmniejszenie wartości nieruchomości, za które uważa się zmianę warunków z korzystania z nieruchomości, zmianę przydatności użytkowej nieruchomości, trwałe ograniczenie w sposobie korzystania z nieruchomości oraz skutki spowodowane obowiązkiem udostępnienia nieruchomości w celu wykonania czynności związanych z konserwacją oraz usuwaniem awarii ciągów, przewodów i urządzeń o których mowa w art. 124 ust. 1 ustawy z dnia 21 sierpnia 1997 r. </w:t>
      </w:r>
      <w:r>
        <w:rPr>
          <w:rFonts w:ascii="Times New Roman" w:eastAsia="Times New Roman" w:hAnsi="Times New Roman"/>
          <w:i/>
          <w:iCs/>
          <w:color w:val="000000"/>
          <w:sz w:val="24"/>
          <w:szCs w:val="24"/>
        </w:rPr>
        <w:t>o gospodarce nieruchomościami. </w:t>
      </w:r>
    </w:p>
    <w:p w14:paraId="59388F08"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 xml:space="preserve">Literatura wskazuje też, że na wysokość odszkodowania istotny wpływ ma też </w:t>
      </w:r>
      <w:r>
        <w:rPr>
          <w:rFonts w:ascii="Times New Roman" w:eastAsia="Times New Roman" w:hAnsi="Times New Roman"/>
          <w:b/>
          <w:bCs/>
          <w:color w:val="000000"/>
          <w:sz w:val="24"/>
          <w:szCs w:val="24"/>
        </w:rPr>
        <w:t>przeznaczenie nieruchomości w planie miejscowym.</w:t>
      </w:r>
      <w:r>
        <w:rPr>
          <w:rFonts w:ascii="Times New Roman" w:eastAsia="Times New Roman" w:hAnsi="Times New Roman"/>
          <w:color w:val="000000"/>
          <w:sz w:val="24"/>
          <w:szCs w:val="24"/>
        </w:rPr>
        <w:t xml:space="preserve"> Jeżeli inwestycja wykonana w oparciu o „decyzję ograniczającą” jest zgodna z miejscowym planem zagospodarowania przestrzennego lub decyzją lokalizacyjną, wówczas należy przyjąć, że </w:t>
      </w:r>
      <w:r>
        <w:rPr>
          <w:rFonts w:ascii="Times New Roman" w:eastAsia="Times New Roman" w:hAnsi="Times New Roman"/>
          <w:color w:val="000000"/>
          <w:sz w:val="24"/>
          <w:szCs w:val="24"/>
          <w:u w:val="single"/>
        </w:rPr>
        <w:t>nie wszystkie</w:t>
      </w:r>
      <w:r>
        <w:rPr>
          <w:rFonts w:ascii="Times New Roman" w:eastAsia="Times New Roman" w:hAnsi="Times New Roman"/>
          <w:color w:val="000000"/>
          <w:sz w:val="24"/>
          <w:szCs w:val="24"/>
        </w:rPr>
        <w:t xml:space="preserve"> skutki wymienione w § 43 ust. 3 ww. rozporządzenia nastąpiły na skutek wydania „decyzji ograniczającej”. Bowiem, jeśli dokumenty planistyczne wskazują istnienie (lub nawet tylko możliwość budowy) urządzeń infrastruktury technicznej na nieruchomości, będącej przedmiotem postępowania o ustalenie odszkodowania, to zmniejszenie wartości nieruchomości nastąpiło już wskutek zaistnienia dokumentów planistycznych. Wówczas właściciel nieruchomości winien skierować swoje roszczenie z tytułu zmniejszenia wartości nieruchomości w stosunku do organu gminy (tzw. szkoda planistyczna). </w:t>
      </w:r>
    </w:p>
    <w:p w14:paraId="69D3FDA5" w14:textId="77777777" w:rsidR="00171E71" w:rsidRPr="00E05127" w:rsidRDefault="00171E71" w:rsidP="00493EAB">
      <w:pPr>
        <w:pStyle w:val="Standard"/>
        <w:spacing w:after="0" w:line="240" w:lineRule="auto"/>
        <w:ind w:firstLine="680"/>
        <w:jc w:val="both"/>
      </w:pPr>
      <w:r>
        <w:rPr>
          <w:rFonts w:ascii="Times New Roman" w:eastAsia="Times New Roman" w:hAnsi="Times New Roman"/>
          <w:color w:val="000000"/>
          <w:sz w:val="24"/>
          <w:szCs w:val="24"/>
        </w:rPr>
        <w:t>Niemniej, organ stoi na stanowisku, iż nie tylko sam plan zagospodarowania przestrzennego, czy inne „dokumenty planistyczne”, zmniejszą wartość nieruchomości, ale także skutki „decyzji ograniczającej” powodują dodatkowe zmniejszenie wartości nieruchomości. Bowiem zobowiązania wynikające z „decyzji ograniczającej” wpływają na zakres wykonywania prawa własności nieruchomości. Stanowią, więc kolejną ingerencję w to prawo. Stąd, rzeczoznawca majątkowy winien uwzględnić zmniejszenie wartości nieruchomości, które nastąpiło w wyniku zrealizowania inwestycji na skutek wydania „decyzji ograniczającej” i pominąć zmniejszenie wartości wskutek szkody planistycznej.</w:t>
      </w:r>
    </w:p>
    <w:p w14:paraId="04B697AF"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Powyższe stanowisko uzasadnia też fakt, iż kwestia odszkodowań za ograniczenie prawa własności uregulowana została przez ustawodawcę w rozdziale o odszkodowaniach za wywłaszczenia. Każda kolejna ingerencja w prawo własności winna skutkować odszkodowaniem. </w:t>
      </w:r>
    </w:p>
    <w:p w14:paraId="6BE5C7E6" w14:textId="77777777" w:rsidR="00171E71" w:rsidRPr="00E05127" w:rsidRDefault="00171E71" w:rsidP="00493EAB">
      <w:pPr>
        <w:pStyle w:val="Standard"/>
        <w:spacing w:after="0" w:line="240" w:lineRule="auto"/>
        <w:jc w:val="both"/>
        <w:rPr>
          <w:color w:val="000000" w:themeColor="text1"/>
        </w:rPr>
      </w:pPr>
      <w:r>
        <w:rPr>
          <w:rFonts w:ascii="Times New Roman" w:eastAsia="Times New Roman" w:hAnsi="Times New Roman"/>
          <w:color w:val="000000"/>
          <w:sz w:val="24"/>
          <w:szCs w:val="24"/>
        </w:rPr>
        <w:t xml:space="preserve">Jak wynika z </w:t>
      </w:r>
      <w:r>
        <w:rPr>
          <w:rFonts w:ascii="Times New Roman" w:eastAsia="Times New Roman" w:hAnsi="Times New Roman"/>
          <w:i/>
          <w:iCs/>
          <w:color w:val="000000"/>
          <w:sz w:val="24"/>
          <w:szCs w:val="24"/>
        </w:rPr>
        <w:t xml:space="preserve">protokołu nr 67/2022 przeprowadzenia prac bez konieczności wchodzenia na </w:t>
      </w:r>
      <w:r w:rsidRPr="00E05127">
        <w:rPr>
          <w:rFonts w:ascii="Times New Roman" w:eastAsia="Times New Roman" w:hAnsi="Times New Roman"/>
          <w:i/>
          <w:iCs/>
          <w:color w:val="000000" w:themeColor="text1"/>
          <w:sz w:val="24"/>
          <w:szCs w:val="24"/>
        </w:rPr>
        <w:t>nieruchomość w związku z przebudową linii 110 kV Nowogard - Golczewo</w:t>
      </w:r>
      <w:r w:rsidRPr="00E05127">
        <w:rPr>
          <w:rFonts w:ascii="Times New Roman" w:eastAsia="Times New Roman" w:hAnsi="Times New Roman"/>
          <w:iCs/>
          <w:color w:val="000000" w:themeColor="text1"/>
          <w:sz w:val="24"/>
          <w:szCs w:val="24"/>
        </w:rPr>
        <w:t xml:space="preserve"> z</w:t>
      </w:r>
      <w:r w:rsidRPr="00E05127">
        <w:rPr>
          <w:rFonts w:ascii="Times New Roman" w:eastAsia="Times New Roman" w:hAnsi="Times New Roman"/>
          <w:color w:val="000000" w:themeColor="text1"/>
          <w:sz w:val="24"/>
          <w:szCs w:val="24"/>
        </w:rPr>
        <w:t xml:space="preserve"> dnia 15 lipca 2022 r. </w:t>
      </w:r>
      <w:r>
        <w:rPr>
          <w:rFonts w:ascii="Times New Roman" w:eastAsia="Times New Roman" w:hAnsi="Times New Roman"/>
          <w:color w:val="000000" w:themeColor="text1"/>
          <w:sz w:val="24"/>
          <w:szCs w:val="24"/>
        </w:rPr>
        <w:t xml:space="preserve">                </w:t>
      </w:r>
      <w:r w:rsidRPr="00E05127">
        <w:rPr>
          <w:rFonts w:ascii="Times New Roman" w:eastAsia="Times New Roman" w:hAnsi="Times New Roman"/>
          <w:color w:val="000000" w:themeColor="text1"/>
          <w:sz w:val="24"/>
          <w:szCs w:val="24"/>
        </w:rPr>
        <w:t xml:space="preserve">w wyniku przeprowadzonych prac na działce numer 836/1, położonej w obr. 1 miasta Nowogard stan nieruchomości nie uległ zmianie. Nad przedmiotową działką przebiegały przewody  napowietrznej linii 110 kV Nowogard – Golczewo. Wykonane prace związane z demontażem istniejących przewodów </w:t>
      </w:r>
      <w:r>
        <w:rPr>
          <w:rFonts w:ascii="Times New Roman" w:eastAsia="Times New Roman" w:hAnsi="Times New Roman"/>
          <w:color w:val="000000" w:themeColor="text1"/>
          <w:sz w:val="24"/>
          <w:szCs w:val="24"/>
        </w:rPr>
        <w:t xml:space="preserve">                   </w:t>
      </w:r>
      <w:r w:rsidRPr="00E05127">
        <w:rPr>
          <w:rFonts w:ascii="Times New Roman" w:eastAsia="Times New Roman" w:hAnsi="Times New Roman"/>
          <w:color w:val="000000" w:themeColor="text1"/>
          <w:sz w:val="24"/>
          <w:szCs w:val="24"/>
        </w:rPr>
        <w:t>i naciągiem napowietrznych przewodów nowej linii. Nieruchomość była udostępniona wykonawcy robót od dnia 07.01.2022r. do dnia 08.07.2022</w:t>
      </w:r>
      <w:r>
        <w:rPr>
          <w:rFonts w:ascii="Times New Roman" w:eastAsia="Times New Roman" w:hAnsi="Times New Roman"/>
          <w:color w:val="000000" w:themeColor="text1"/>
          <w:sz w:val="24"/>
          <w:szCs w:val="24"/>
        </w:rPr>
        <w:t xml:space="preserve"> </w:t>
      </w:r>
      <w:r w:rsidRPr="00E05127">
        <w:rPr>
          <w:rFonts w:ascii="Times New Roman" w:eastAsia="Times New Roman" w:hAnsi="Times New Roman"/>
          <w:color w:val="000000" w:themeColor="text1"/>
          <w:sz w:val="24"/>
          <w:szCs w:val="24"/>
        </w:rPr>
        <w:t xml:space="preserve">r. W wyniku zastosowania technologii montaży opisanej powyżej na przedmiotowej działce nie powstały żadne szkody. Na zdemontowanej linii 110 kV </w:t>
      </w:r>
      <w:r>
        <w:rPr>
          <w:rFonts w:ascii="Times New Roman" w:eastAsia="Times New Roman" w:hAnsi="Times New Roman"/>
          <w:color w:val="000000" w:themeColor="text1"/>
          <w:sz w:val="24"/>
          <w:szCs w:val="24"/>
        </w:rPr>
        <w:t>+</w:t>
      </w:r>
      <w:r w:rsidRPr="00E05127">
        <w:rPr>
          <w:rFonts w:ascii="Times New Roman" w:eastAsia="Times New Roman" w:hAnsi="Times New Roman"/>
          <w:color w:val="000000" w:themeColor="text1"/>
          <w:sz w:val="24"/>
          <w:szCs w:val="24"/>
        </w:rPr>
        <w:t>Nowogard – Golczewo był poziomy układ przewodów roboczych. Natomiast w linii 110 kV po przebudowie zastosowany został trójkątny lub leśny układ przewodów roboczych w związku, z czym gabaryty rozstawu przewodów uległy zmniejszeniu. Linia 110 kV została przebudowana po trasie istniejącej linii a ponadto napięcie linii nie uległo zmianie.</w:t>
      </w:r>
    </w:p>
    <w:p w14:paraId="6932ACA7" w14:textId="77777777" w:rsidR="00171E71" w:rsidRDefault="00171E71" w:rsidP="00493EAB">
      <w:pPr>
        <w:pStyle w:val="Standard"/>
        <w:spacing w:after="0" w:line="240" w:lineRule="auto"/>
        <w:ind w:firstLine="708"/>
        <w:jc w:val="both"/>
      </w:pPr>
      <w:r>
        <w:rPr>
          <w:rFonts w:ascii="Times New Roman" w:hAnsi="Times New Roman"/>
          <w:color w:val="000000"/>
          <w:sz w:val="24"/>
          <w:szCs w:val="24"/>
        </w:rPr>
        <w:t xml:space="preserve">W związku z powyższym </w:t>
      </w:r>
      <w:r>
        <w:rPr>
          <w:rFonts w:ascii="Times New Roman" w:eastAsia="Times New Roman" w:hAnsi="Times New Roman"/>
          <w:color w:val="000000"/>
          <w:sz w:val="24"/>
          <w:szCs w:val="24"/>
        </w:rPr>
        <w:t>nie stwierdzono powstania fizycznych szkód</w:t>
      </w:r>
      <w:r>
        <w:rPr>
          <w:rFonts w:ascii="Times New Roman" w:eastAsia="Times New Roman" w:hAnsi="Times New Roman"/>
          <w:b/>
          <w:bCs/>
          <w:color w:val="000000"/>
          <w:sz w:val="24"/>
          <w:szCs w:val="24"/>
        </w:rPr>
        <w:t xml:space="preserve"> </w:t>
      </w:r>
      <w:r>
        <w:rPr>
          <w:rFonts w:ascii="Times New Roman" w:hAnsi="Times New Roman"/>
          <w:color w:val="000000"/>
          <w:sz w:val="24"/>
          <w:szCs w:val="24"/>
        </w:rPr>
        <w:t xml:space="preserve">związanych z realizacją przedmiotowej inwestycji, a </w:t>
      </w:r>
      <w:r>
        <w:rPr>
          <w:rFonts w:ascii="Times New Roman" w:hAnsi="Times New Roman"/>
          <w:bCs/>
          <w:color w:val="000000"/>
          <w:sz w:val="24"/>
          <w:szCs w:val="24"/>
        </w:rPr>
        <w:t>biegły nie ustalił z tego tytułu odszkodowania</w:t>
      </w:r>
      <w:r>
        <w:rPr>
          <w:rFonts w:ascii="Times New Roman" w:hAnsi="Times New Roman"/>
          <w:color w:val="000000"/>
          <w:sz w:val="24"/>
          <w:szCs w:val="24"/>
        </w:rPr>
        <w:t>. Protokół został podpisany wyłącznie przez przedstawiciela wykonawcy robót</w:t>
      </w:r>
      <w:r>
        <w:rPr>
          <w:rFonts w:ascii="Times New Roman" w:eastAsia="Times New Roman" w:hAnsi="Times New Roman"/>
          <w:color w:val="000000"/>
          <w:sz w:val="24"/>
          <w:szCs w:val="24"/>
        </w:rPr>
        <w:t xml:space="preserve">. </w:t>
      </w:r>
    </w:p>
    <w:p w14:paraId="5816644C" w14:textId="77777777" w:rsidR="00171E71" w:rsidRDefault="00171E71" w:rsidP="00493EAB">
      <w:pPr>
        <w:pStyle w:val="Standard"/>
        <w:spacing w:after="0" w:line="240" w:lineRule="auto"/>
        <w:ind w:firstLine="680"/>
        <w:jc w:val="both"/>
      </w:pPr>
      <w:r>
        <w:rPr>
          <w:rFonts w:ascii="Times New Roman" w:hAnsi="Times New Roman"/>
          <w:color w:val="000000"/>
          <w:sz w:val="24"/>
          <w:szCs w:val="24"/>
        </w:rPr>
        <w:t xml:space="preserve">Powołany biegły w sprawie, dokonał oględzin nieruchomości w dniu 18 listopada 2022 r. oraz przeanalizował dokumenty źródłowe, w wyniku, czego ustalił odszkodowanie w wysokości </w:t>
      </w:r>
      <w:r>
        <w:rPr>
          <w:rFonts w:ascii="Times New Roman" w:eastAsia="Times New Roman" w:hAnsi="Times New Roman"/>
          <w:color w:val="000000"/>
          <w:sz w:val="24"/>
          <w:szCs w:val="24"/>
        </w:rPr>
        <w:t>1.291</w:t>
      </w:r>
      <w:r>
        <w:rPr>
          <w:rFonts w:ascii="Times New Roman" w:hAnsi="Times New Roman"/>
          <w:color w:val="000000"/>
          <w:sz w:val="24"/>
          <w:szCs w:val="24"/>
        </w:rPr>
        <w:t>,00 złotych. Poniżej wskazuje się jakie wartości i dlaczego przyjął biegły w operacie oraz co ustalił organ.</w:t>
      </w:r>
    </w:p>
    <w:p w14:paraId="6E12AB72" w14:textId="77777777" w:rsidR="00171E71" w:rsidRDefault="00171E71" w:rsidP="00493EAB">
      <w:pPr>
        <w:pStyle w:val="Standard"/>
        <w:spacing w:after="0" w:line="240" w:lineRule="auto"/>
        <w:ind w:firstLine="360"/>
        <w:jc w:val="both"/>
      </w:pPr>
      <w:r>
        <w:rPr>
          <w:rFonts w:ascii="Times New Roman" w:eastAsia="Times New Roman" w:hAnsi="Times New Roman"/>
          <w:color w:val="000000"/>
          <w:sz w:val="24"/>
          <w:szCs w:val="24"/>
        </w:rPr>
        <w:lastRenderedPageBreak/>
        <w:t>Operat szacunkowy sporządzony przez rzeczoznawcę majątkowego jest zasadniczym dowodem                w sprawie o ustalenie odszkodowania (</w:t>
      </w:r>
      <w:r>
        <w:rPr>
          <w:rFonts w:ascii="Times New Roman" w:eastAsia="Times New Roman" w:hAnsi="Times New Roman"/>
          <w:i/>
          <w:iCs/>
          <w:color w:val="000000"/>
          <w:sz w:val="24"/>
          <w:szCs w:val="24"/>
        </w:rPr>
        <w:t xml:space="preserve">vide: </w:t>
      </w:r>
      <w:r>
        <w:rPr>
          <w:rFonts w:ascii="Times New Roman" w:eastAsia="Times New Roman" w:hAnsi="Times New Roman"/>
          <w:color w:val="000000"/>
          <w:sz w:val="24"/>
          <w:szCs w:val="24"/>
        </w:rPr>
        <w:t>Wyrok WSA w Krakowie z 20.02.2013 r. II SA/Kr 168/13).</w:t>
      </w:r>
    </w:p>
    <w:p w14:paraId="5D482D92" w14:textId="77777777" w:rsidR="00171E71" w:rsidRDefault="00171E71" w:rsidP="00493EAB">
      <w:pPr>
        <w:pStyle w:val="Standard"/>
        <w:spacing w:after="0" w:line="240" w:lineRule="auto"/>
        <w:ind w:firstLine="360"/>
        <w:jc w:val="both"/>
      </w:pPr>
      <w:r>
        <w:rPr>
          <w:rFonts w:ascii="Times New Roman" w:eastAsia="Times New Roman" w:hAnsi="Times New Roman"/>
          <w:color w:val="000000"/>
          <w:sz w:val="24"/>
          <w:szCs w:val="24"/>
        </w:rPr>
        <w:t>Operat zawiera opis stanu techniczno–użytkowego, w tym lokalizację ogólną, szczegółową, opis działki gruntu – stan zagospodarowania wg stany na dzień oględzin, stan zagospodarowania wg stanu na dzień wydania decyzji o ograniczeniu sposobu korzystania z nieruchomości.</w:t>
      </w:r>
    </w:p>
    <w:p w14:paraId="35092F4E"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 xml:space="preserve">Operat wykonany przez biegłego w niniejszej sprawie czyni też zadość regulacjom szczególnym, tj.: rozporządzeniu Rady Ministrów z dnia 21 września 2004 r. </w:t>
      </w:r>
      <w:r>
        <w:rPr>
          <w:rFonts w:ascii="Times New Roman" w:eastAsia="Times New Roman" w:hAnsi="Times New Roman"/>
          <w:i/>
          <w:iCs/>
          <w:color w:val="000000"/>
          <w:sz w:val="24"/>
          <w:szCs w:val="24"/>
        </w:rPr>
        <w:t>w sprawie wyceny nieruchomości                          i sporządzania operatu szacunkowego</w:t>
      </w:r>
      <w:r>
        <w:rPr>
          <w:rFonts w:ascii="Times New Roman" w:eastAsia="Times New Roman" w:hAnsi="Times New Roman"/>
          <w:color w:val="000000"/>
          <w:sz w:val="24"/>
          <w:szCs w:val="24"/>
        </w:rPr>
        <w:t>.</w:t>
      </w:r>
    </w:p>
    <w:p w14:paraId="3C688114"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 xml:space="preserve">Odszkodowanie ustala się w oparciu o art. 130 ustawy </w:t>
      </w:r>
      <w:r>
        <w:rPr>
          <w:rFonts w:ascii="Times New Roman" w:eastAsia="Times New Roman" w:hAnsi="Times New Roman"/>
          <w:i/>
          <w:iCs/>
          <w:color w:val="000000"/>
          <w:sz w:val="24"/>
          <w:szCs w:val="24"/>
        </w:rPr>
        <w:t>o gospodarce nieruchomościami: „wysokość odszkodowania ustala się według stanu, przeznaczenia i wartości wywłaszczonej nieruchomości w dniu wydania decyzji o wywłaszczeniu. W przypadku gdy starosta wykonujący zadanie z zakresu administracji rządowej, wydaje odrębną decyzję o odszkodowaniu, wysokość odszkodowania ustala się według stanu i przeznaczenia w dniu pozbawienia lub ograniczenia praw…”.</w:t>
      </w:r>
    </w:p>
    <w:p w14:paraId="102CA985" w14:textId="77777777" w:rsidR="00171E71" w:rsidRDefault="00171E71" w:rsidP="00493EAB">
      <w:pPr>
        <w:pStyle w:val="Standard"/>
        <w:spacing w:after="0" w:line="240" w:lineRule="auto"/>
        <w:ind w:firstLine="680"/>
        <w:jc w:val="both"/>
        <w:rPr>
          <w:rFonts w:ascii="Times New Roman" w:eastAsia="Times New Roman" w:hAnsi="Times New Roman"/>
          <w:i/>
          <w:iCs/>
          <w:color w:val="000000"/>
          <w:sz w:val="24"/>
          <w:szCs w:val="24"/>
        </w:rPr>
      </w:pPr>
      <w:r>
        <w:rPr>
          <w:rFonts w:ascii="Times New Roman" w:eastAsia="Times New Roman" w:hAnsi="Times New Roman"/>
          <w:color w:val="000000"/>
          <w:sz w:val="24"/>
          <w:szCs w:val="24"/>
        </w:rPr>
        <w:t xml:space="preserve">W toku prowadzonego postępowania dokonano analizy i oceny sporządzonego przez rzeczoznawcę majątkowego operatu szacunkowego i uznano, że odpowiada on wymogom prawa, wskazuje i uzasadnia metodę zastosowaną do wyceny, czynniki wpływające na kształtowanie się cen transakcyjnych, jak również uwzględnia ceny nieruchomości występujące na określonym rynku lokalnym. Stosownie do przepisów art. 154 ust. 1 ustawy </w:t>
      </w:r>
      <w:r>
        <w:rPr>
          <w:rFonts w:ascii="Times New Roman" w:eastAsia="Times New Roman" w:hAnsi="Times New Roman"/>
          <w:i/>
          <w:iCs/>
          <w:color w:val="000000"/>
          <w:sz w:val="24"/>
          <w:szCs w:val="24"/>
        </w:rPr>
        <w:t>o gospodarce nieruchomościami: „wyboru właściwego podejścia oraz metody i techniki szacowania nieruchomości dokonuje rzeczoznawca majątkowy, uwzględniając w szczególności cel wyceny, rodzaj i położenie nieruchomości, przeznaczenie w planie miejscowym, stan nieruchomości  oraz dostępne dane o cenach, dochodach i cechach nieruchomości podobnych”.</w:t>
      </w:r>
    </w:p>
    <w:p w14:paraId="1C701136" w14:textId="77777777" w:rsidR="00171E71" w:rsidRPr="002C0921" w:rsidRDefault="00171E71" w:rsidP="00493EAB">
      <w:pPr>
        <w:pStyle w:val="Standard"/>
        <w:spacing w:after="0" w:line="240" w:lineRule="auto"/>
        <w:ind w:firstLine="680"/>
        <w:jc w:val="both"/>
        <w:rPr>
          <w:rFonts w:ascii="Times New Roman" w:eastAsia="Times New Roman" w:hAnsi="Times New Roman"/>
          <w:i/>
          <w:iCs/>
          <w:color w:val="000000"/>
          <w:sz w:val="24"/>
          <w:szCs w:val="24"/>
        </w:rPr>
      </w:pPr>
    </w:p>
    <w:p w14:paraId="1250F972" w14:textId="77777777" w:rsidR="00171E71" w:rsidRDefault="00171E71" w:rsidP="00493EAB">
      <w:pPr>
        <w:pStyle w:val="Standard"/>
        <w:spacing w:after="0" w:line="240" w:lineRule="auto"/>
        <w:ind w:firstLine="709"/>
        <w:jc w:val="both"/>
      </w:pPr>
      <w:r>
        <w:rPr>
          <w:rFonts w:ascii="Times New Roman" w:eastAsia="Times New Roman" w:hAnsi="Times New Roman"/>
          <w:b/>
          <w:bCs/>
          <w:color w:val="000000"/>
          <w:sz w:val="24"/>
          <w:szCs w:val="24"/>
        </w:rPr>
        <w:t>Oszacowanie przez biegłego wartości rynkowej 1 m</w:t>
      </w:r>
      <w:r>
        <w:rPr>
          <w:rFonts w:ascii="Times New Roman" w:eastAsia="Times New Roman" w:hAnsi="Times New Roman"/>
          <w:b/>
          <w:bCs/>
          <w:color w:val="000000"/>
          <w:sz w:val="24"/>
          <w:szCs w:val="24"/>
          <w:vertAlign w:val="superscript"/>
        </w:rPr>
        <w:t>2</w:t>
      </w:r>
      <w:r>
        <w:rPr>
          <w:rFonts w:ascii="Times New Roman" w:eastAsia="Times New Roman" w:hAnsi="Times New Roman"/>
          <w:b/>
          <w:bCs/>
          <w:color w:val="000000"/>
          <w:sz w:val="24"/>
          <w:szCs w:val="24"/>
        </w:rPr>
        <w:t xml:space="preserve"> nieruchomości.</w:t>
      </w:r>
    </w:p>
    <w:p w14:paraId="477E4010" w14:textId="77777777" w:rsidR="00171E71" w:rsidRDefault="00171E71" w:rsidP="00493EAB">
      <w:pPr>
        <w:pStyle w:val="Standard"/>
        <w:spacing w:after="0" w:line="240" w:lineRule="auto"/>
        <w:ind w:firstLine="709"/>
        <w:jc w:val="both"/>
      </w:pPr>
      <w:r>
        <w:rPr>
          <w:rFonts w:ascii="Times New Roman" w:eastAsia="Times New Roman" w:hAnsi="Times New Roman"/>
          <w:color w:val="000000"/>
          <w:sz w:val="24"/>
          <w:szCs w:val="24"/>
        </w:rPr>
        <w:t xml:space="preserve">Rzeczoznawca majątkowy wartość przedmiotowej nieruchomości określił w podejściu porównawczym, metodą </w:t>
      </w:r>
      <w:r>
        <w:rPr>
          <w:rFonts w:ascii="Times New Roman" w:eastAsia="Times New Roman" w:hAnsi="Times New Roman"/>
          <w:bCs/>
          <w:color w:val="000000"/>
          <w:sz w:val="24"/>
          <w:szCs w:val="24"/>
        </w:rPr>
        <w:t>korygowania ceny średniej</w:t>
      </w:r>
      <w:r>
        <w:rPr>
          <w:rFonts w:ascii="Times New Roman" w:eastAsia="Times New Roman" w:hAnsi="Times New Roman"/>
          <w:color w:val="000000"/>
          <w:sz w:val="24"/>
          <w:szCs w:val="24"/>
        </w:rPr>
        <w:t xml:space="preserve">. </w:t>
      </w:r>
      <w:r>
        <w:rPr>
          <w:rFonts w:ascii="Times New Roman" w:eastAsia="Times New Roman" w:hAnsi="Times New Roman"/>
          <w:b/>
          <w:bCs/>
          <w:color w:val="000000"/>
          <w:sz w:val="24"/>
          <w:szCs w:val="24"/>
        </w:rPr>
        <w:t xml:space="preserve">Podejście porównawcze </w:t>
      </w:r>
      <w:r>
        <w:rPr>
          <w:rFonts w:ascii="Times New Roman" w:eastAsia="Times New Roman" w:hAnsi="Times New Roman"/>
          <w:color w:val="000000"/>
          <w:sz w:val="24"/>
          <w:szCs w:val="24"/>
        </w:rPr>
        <w:t>polega na określeniu wartości nieruchomości przy założeniu, że wartość ta odpowiada cenom, jakie uzyskano za nieruchomości podobne, które były przedmiotem obrotu rynkowego. Wartość nieruchomości koryguje się ze względu na cechy różniące te nieruchomości i ustala z uwzględnieniem zmian poziomu cen wskutek upływu czasu.</w:t>
      </w:r>
    </w:p>
    <w:p w14:paraId="516C81C0"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 xml:space="preserve">Przy </w:t>
      </w:r>
      <w:r>
        <w:rPr>
          <w:rFonts w:ascii="Times New Roman" w:eastAsia="Times New Roman" w:hAnsi="Times New Roman"/>
          <w:b/>
          <w:bCs/>
          <w:color w:val="000000"/>
          <w:sz w:val="24"/>
          <w:szCs w:val="24"/>
        </w:rPr>
        <w:t xml:space="preserve">metodzie korygowania ceny średniej </w:t>
      </w:r>
      <w:r>
        <w:rPr>
          <w:rFonts w:ascii="Times New Roman" w:eastAsia="Times New Roman" w:hAnsi="Times New Roman"/>
          <w:color w:val="000000"/>
          <w:sz w:val="24"/>
          <w:szCs w:val="24"/>
        </w:rPr>
        <w:t>porównuje się co najmniej kilkanaście nieruchomości podobnych, które były przedmiotem obrotu rynkowego i dla których znane są ceny transakcyjne, warunki zawarcia transakcji oraz cechy tych nieruchomości będącą przedmiotem wyceny, której cechy są znane, kolejno z nieruchomościami podobnymi, które były przedmiotem obrotu rynkowego i dla których znane są ceny transakcyjne, warunki zawarcia transakcji oraz cechy tych nieruchomości.</w:t>
      </w:r>
    </w:p>
    <w:p w14:paraId="4ABA77B8" w14:textId="77777777" w:rsidR="00171E71" w:rsidRPr="00E4021C" w:rsidRDefault="00171E71" w:rsidP="00493EAB">
      <w:pPr>
        <w:pStyle w:val="Standard"/>
        <w:spacing w:after="0" w:line="240" w:lineRule="auto"/>
        <w:ind w:firstLine="680"/>
        <w:jc w:val="both"/>
        <w:rPr>
          <w:sz w:val="24"/>
          <w:szCs w:val="24"/>
        </w:rPr>
      </w:pPr>
      <w:r>
        <w:rPr>
          <w:rFonts w:ascii="Times New Roman" w:eastAsia="Times New Roman" w:hAnsi="Times New Roman"/>
          <w:color w:val="000000"/>
          <w:sz w:val="24"/>
          <w:szCs w:val="24"/>
        </w:rPr>
        <w:t xml:space="preserve">Wycena nieruchomości w każdym wypadku, zgodnie z definicją ustawową wartości rynkowej, jest próba obiektywizacji rynku odzwierciedlającą zachowania kupującego i sprzedającego. Dlatego ważne jest przedstawienie wszystkich najważniejszych założeń – czyli elementów wejściowych do wyceny odwzorowujących rynek oraz sposób ich uwzględnienia przez rzeczoznawcę. Na potrzeby operatu szacunkowego </w:t>
      </w:r>
      <w:r w:rsidRPr="00E4021C">
        <w:rPr>
          <w:rFonts w:ascii="Times New Roman" w:eastAsia="Times New Roman" w:hAnsi="Times New Roman"/>
          <w:color w:val="000000"/>
          <w:sz w:val="24"/>
          <w:szCs w:val="24"/>
        </w:rPr>
        <w:t>przyjęto założenia na podstawie badania rynku nieruchomości stanu nieruchomości.</w:t>
      </w:r>
    </w:p>
    <w:p w14:paraId="6E8FA6EE" w14:textId="77777777" w:rsidR="00171E71" w:rsidRDefault="00171E71" w:rsidP="00493EAB">
      <w:pPr>
        <w:pStyle w:val="Standard"/>
        <w:spacing w:after="0" w:line="240" w:lineRule="auto"/>
        <w:ind w:firstLine="709"/>
        <w:jc w:val="both"/>
        <w:rPr>
          <w:rFonts w:ascii="Times New Roman" w:eastAsia="Times New Roman" w:hAnsi="Times New Roman"/>
          <w:color w:val="000000"/>
          <w:sz w:val="24"/>
          <w:szCs w:val="24"/>
        </w:rPr>
      </w:pPr>
    </w:p>
    <w:p w14:paraId="1803F78B" w14:textId="77777777" w:rsidR="00171E71" w:rsidRPr="00E4021C" w:rsidRDefault="00171E71" w:rsidP="00493EAB">
      <w:pPr>
        <w:pStyle w:val="Standard"/>
        <w:spacing w:after="0" w:line="240" w:lineRule="auto"/>
        <w:ind w:firstLine="709"/>
        <w:jc w:val="both"/>
        <w:rPr>
          <w:rFonts w:ascii="Times New Roman" w:eastAsia="Times New Roman" w:hAnsi="Times New Roman"/>
          <w:color w:val="000000"/>
          <w:sz w:val="24"/>
          <w:szCs w:val="24"/>
        </w:rPr>
      </w:pPr>
      <w:r w:rsidRPr="00E4021C">
        <w:rPr>
          <w:rFonts w:ascii="Times New Roman" w:eastAsia="Times New Roman" w:hAnsi="Times New Roman"/>
          <w:color w:val="000000"/>
          <w:sz w:val="24"/>
          <w:szCs w:val="24"/>
        </w:rPr>
        <w:t>Rzeczoznawca przeprowadził analizę rynku nieruchomości, w której uwzięto pod uwagę:</w:t>
      </w:r>
    </w:p>
    <w:p w14:paraId="6B3C455E" w14:textId="77777777" w:rsidR="00171E71" w:rsidRPr="00E4021C" w:rsidRDefault="00171E71" w:rsidP="00493EAB">
      <w:pPr>
        <w:pStyle w:val="Standard"/>
        <w:numPr>
          <w:ilvl w:val="0"/>
          <w:numId w:val="4"/>
        </w:numPr>
        <w:spacing w:after="0" w:line="240" w:lineRule="auto"/>
        <w:jc w:val="both"/>
        <w:rPr>
          <w:sz w:val="24"/>
          <w:szCs w:val="24"/>
        </w:rPr>
      </w:pPr>
      <w:r w:rsidRPr="00E4021C">
        <w:rPr>
          <w:rFonts w:ascii="Times New Roman" w:hAnsi="Times New Roman"/>
          <w:color w:val="000000"/>
          <w:sz w:val="24"/>
          <w:szCs w:val="24"/>
        </w:rPr>
        <w:t>rynek nieruchomości gruntowych niezabudowanych jako przedmiotu prawa własności przeznaczonych pod zabudowę mieszkaniową;</w:t>
      </w:r>
    </w:p>
    <w:p w14:paraId="023E17FF" w14:textId="77777777" w:rsidR="00171E71" w:rsidRPr="00E4021C" w:rsidRDefault="00171E71" w:rsidP="00493EAB">
      <w:pPr>
        <w:pStyle w:val="Akapitzlist"/>
        <w:numPr>
          <w:ilvl w:val="0"/>
          <w:numId w:val="4"/>
        </w:numPr>
        <w:jc w:val="both"/>
      </w:pPr>
      <w:r w:rsidRPr="00E4021C">
        <w:rPr>
          <w:rFonts w:ascii="Times New Roman" w:hAnsi="Times New Roman"/>
          <w:color w:val="000000"/>
        </w:rPr>
        <w:t>obszar: miasto Nowogard, obręb Nowogard – 1</w:t>
      </w:r>
      <w:r>
        <w:rPr>
          <w:rFonts w:ascii="Times New Roman" w:hAnsi="Times New Roman"/>
          <w:color w:val="000000"/>
        </w:rPr>
        <w:t xml:space="preserve"> i 2</w:t>
      </w:r>
      <w:r w:rsidRPr="00E4021C">
        <w:rPr>
          <w:rFonts w:ascii="Times New Roman" w:hAnsi="Times New Roman"/>
          <w:color w:val="000000"/>
        </w:rPr>
        <w:t>;</w:t>
      </w:r>
    </w:p>
    <w:p w14:paraId="232B3408" w14:textId="77777777" w:rsidR="00171E71" w:rsidRPr="00E4021C" w:rsidRDefault="00171E71" w:rsidP="00493EAB">
      <w:pPr>
        <w:pStyle w:val="Akapitzlist"/>
        <w:numPr>
          <w:ilvl w:val="0"/>
          <w:numId w:val="2"/>
        </w:numPr>
        <w:jc w:val="both"/>
      </w:pPr>
      <w:r w:rsidRPr="00E4021C">
        <w:rPr>
          <w:rFonts w:ascii="Times New Roman" w:hAnsi="Times New Roman"/>
          <w:color w:val="000000"/>
        </w:rPr>
        <w:t>okres badania</w:t>
      </w:r>
      <w:r>
        <w:rPr>
          <w:rFonts w:ascii="Times New Roman" w:hAnsi="Times New Roman"/>
          <w:color w:val="000000"/>
        </w:rPr>
        <w:t xml:space="preserve"> cen: grudzień</w:t>
      </w:r>
      <w:r w:rsidRPr="00E4021C">
        <w:rPr>
          <w:rFonts w:ascii="Times New Roman" w:hAnsi="Times New Roman"/>
          <w:color w:val="000000"/>
        </w:rPr>
        <w:t xml:space="preserve"> 2019 r. – grudzień 2022 r.</w:t>
      </w:r>
    </w:p>
    <w:p w14:paraId="4B77D8B2" w14:textId="77777777" w:rsidR="00171E71" w:rsidRPr="00E4021C" w:rsidRDefault="00171E71" w:rsidP="00493EAB">
      <w:pPr>
        <w:pStyle w:val="Akapitzlist"/>
        <w:jc w:val="both"/>
        <w:rPr>
          <w:rFonts w:ascii="Times New Roman" w:hAnsi="Times New Roman"/>
          <w:color w:val="000000"/>
        </w:rPr>
      </w:pPr>
    </w:p>
    <w:p w14:paraId="4FC10193" w14:textId="77777777" w:rsidR="00171E71" w:rsidRDefault="00171E71" w:rsidP="00493EAB">
      <w:pPr>
        <w:pStyle w:val="Standard"/>
        <w:spacing w:after="0" w:line="240" w:lineRule="auto"/>
        <w:jc w:val="both"/>
      </w:pPr>
      <w:r w:rsidRPr="00E4021C">
        <w:rPr>
          <w:rFonts w:ascii="Times New Roman" w:eastAsia="Times New Roman" w:hAnsi="Times New Roman"/>
          <w:color w:val="000000"/>
          <w:sz w:val="24"/>
          <w:szCs w:val="24"/>
        </w:rPr>
        <w:t xml:space="preserve">          Do wyceny rzeczoznawca przyjął 1</w:t>
      </w:r>
      <w:r>
        <w:rPr>
          <w:rFonts w:ascii="Times New Roman" w:eastAsia="Times New Roman" w:hAnsi="Times New Roman"/>
          <w:color w:val="000000"/>
          <w:sz w:val="24"/>
          <w:szCs w:val="24"/>
        </w:rPr>
        <w:t>1</w:t>
      </w:r>
      <w:r w:rsidRPr="00E4021C">
        <w:rPr>
          <w:rFonts w:ascii="Times New Roman" w:eastAsia="Times New Roman" w:hAnsi="Times New Roman"/>
          <w:color w:val="000000"/>
          <w:sz w:val="24"/>
          <w:szCs w:val="24"/>
        </w:rPr>
        <w:t xml:space="preserve"> transakcji obrotu nieruchomościami podobnymi do przedmiotu wyceny. Ceny transakcyjne dotyczące działek niezabudowanych o podobnym </w:t>
      </w:r>
      <w:r w:rsidRPr="00E4021C">
        <w:rPr>
          <w:rFonts w:ascii="Times New Roman" w:eastAsia="Times New Roman" w:hAnsi="Times New Roman"/>
          <w:color w:val="000000"/>
          <w:sz w:val="24"/>
          <w:szCs w:val="24"/>
        </w:rPr>
        <w:lastRenderedPageBreak/>
        <w:t>przeznaczeniu z prawem własności po odrzuceniu wartości</w:t>
      </w:r>
      <w:r>
        <w:rPr>
          <w:rFonts w:ascii="Times New Roman" w:eastAsia="Times New Roman" w:hAnsi="Times New Roman"/>
          <w:color w:val="000000"/>
          <w:sz w:val="24"/>
          <w:szCs w:val="24"/>
        </w:rPr>
        <w:t xml:space="preserve"> skrajnych i aktualizacji o trend czasowy                1 % w skali miesiąca oscylując w przedziale od ok 50 zł/m</w:t>
      </w:r>
      <w:r>
        <w:rPr>
          <w:rFonts w:ascii="Times New Roman" w:eastAsia="Times New Roman" w:hAnsi="Times New Roman"/>
          <w:color w:val="000000"/>
          <w:sz w:val="24"/>
          <w:szCs w:val="24"/>
          <w:vertAlign w:val="superscript"/>
        </w:rPr>
        <w:t xml:space="preserve">2 </w:t>
      </w:r>
      <w:r>
        <w:rPr>
          <w:rFonts w:ascii="Times New Roman" w:eastAsia="Times New Roman" w:hAnsi="Times New Roman"/>
          <w:color w:val="000000"/>
          <w:sz w:val="24"/>
          <w:szCs w:val="24"/>
        </w:rPr>
        <w:t>do ok. 118 zł/m</w:t>
      </w:r>
      <w:r>
        <w:rPr>
          <w:rFonts w:ascii="Times New Roman" w:eastAsia="Times New Roman" w:hAnsi="Times New Roman"/>
          <w:color w:val="000000"/>
          <w:sz w:val="24"/>
          <w:szCs w:val="24"/>
          <w:vertAlign w:val="superscript"/>
        </w:rPr>
        <w:t>2</w:t>
      </w:r>
      <w:r>
        <w:rPr>
          <w:rFonts w:ascii="Times New Roman" w:eastAsia="Times New Roman" w:hAnsi="Times New Roman"/>
          <w:color w:val="000000"/>
          <w:sz w:val="24"/>
          <w:szCs w:val="24"/>
        </w:rPr>
        <w:t xml:space="preserve"> powierzchni gruntu.  </w:t>
      </w:r>
    </w:p>
    <w:p w14:paraId="3A66473C" w14:textId="77777777" w:rsidR="00171E71" w:rsidRDefault="00171E71" w:rsidP="00493EAB">
      <w:pPr>
        <w:pStyle w:val="Standard"/>
        <w:spacing w:after="0" w:line="240" w:lineRule="auto"/>
        <w:jc w:val="both"/>
      </w:pPr>
      <w:r>
        <w:rPr>
          <w:rFonts w:ascii="Times New Roman" w:eastAsia="Times New Roman" w:hAnsi="Times New Roman"/>
          <w:color w:val="000000"/>
          <w:sz w:val="24"/>
          <w:szCs w:val="24"/>
        </w:rPr>
        <w:t xml:space="preserve">Duży rozrzut cen uzależniony jest w tym przypadku szczególnie od lokalizacji szczegółowej, uzbrojenia w media, powierzchni działki, jakości dojazdu oraz utrudnień inwestycyjnych takich jak: kształt działki, ukształtowania terenu, stopnia zadrzewienia lub zakrzaczenia działki, stanu podłoża gruntowego obecności napowietrznych linii elektroenergetycznych, itp. Rzeczoznawca na potrzeby wyceny przyjął transakcje z okresu najbliższego z uwzględnieniem trendu lekko rosnącego zmian cen w czasie.  </w:t>
      </w:r>
    </w:p>
    <w:p w14:paraId="00C792AE" w14:textId="77777777" w:rsidR="00171E71" w:rsidRDefault="00171E71" w:rsidP="00493EAB">
      <w:pPr>
        <w:pStyle w:val="Standard"/>
        <w:tabs>
          <w:tab w:val="left" w:pos="-142"/>
        </w:tabs>
        <w:suppressAutoHyphens w:val="0"/>
        <w:spacing w:after="0" w:line="240" w:lineRule="auto"/>
        <w:ind w:firstLine="729"/>
        <w:jc w:val="both"/>
        <w:rPr>
          <w:rFonts w:ascii="Times New Roman" w:eastAsia="Times New Roman" w:hAnsi="Times New Roman"/>
          <w:b/>
          <w:bCs/>
          <w:color w:val="FF0000"/>
          <w:sz w:val="24"/>
          <w:szCs w:val="24"/>
        </w:rPr>
      </w:pPr>
    </w:p>
    <w:p w14:paraId="0352D470" w14:textId="77777777" w:rsidR="00171E71" w:rsidRDefault="00171E71" w:rsidP="00493EAB">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Tab. 1 Nieruchomości z maksymalną, minimalną ceną wybrane do porównania z 13 transakcji.</w:t>
      </w:r>
    </w:p>
    <w:p w14:paraId="1BAC7B26" w14:textId="77777777" w:rsidR="00171E71" w:rsidRDefault="00171E71" w:rsidP="00493EAB">
      <w:pPr>
        <w:pStyle w:val="Standard"/>
        <w:spacing w:after="0" w:line="240" w:lineRule="auto"/>
        <w:jc w:val="both"/>
      </w:pPr>
    </w:p>
    <w:tbl>
      <w:tblPr>
        <w:tblW w:w="9634" w:type="dxa"/>
        <w:tblLayout w:type="fixed"/>
        <w:tblCellMar>
          <w:left w:w="10" w:type="dxa"/>
          <w:right w:w="10" w:type="dxa"/>
        </w:tblCellMar>
        <w:tblLook w:val="04A0" w:firstRow="1" w:lastRow="0" w:firstColumn="1" w:lastColumn="0" w:noHBand="0" w:noVBand="1"/>
      </w:tblPr>
      <w:tblGrid>
        <w:gridCol w:w="1413"/>
        <w:gridCol w:w="1276"/>
        <w:gridCol w:w="1559"/>
        <w:gridCol w:w="1417"/>
        <w:gridCol w:w="1543"/>
        <w:gridCol w:w="2426"/>
      </w:tblGrid>
      <w:tr w:rsidR="00171E71" w14:paraId="0F0D862E" w14:textId="77777777" w:rsidTr="00896E41">
        <w:trPr>
          <w:trHeight w:val="264"/>
        </w:trPr>
        <w:tc>
          <w:tcPr>
            <w:tcW w:w="1413" w:type="dxa"/>
            <w:tcBorders>
              <w:top w:val="single" w:sz="4" w:space="0" w:color="000000"/>
              <w:left w:val="single" w:sz="4" w:space="0" w:color="000000"/>
              <w:bottom w:val="single" w:sz="4" w:space="0" w:color="000000"/>
              <w:right w:val="single" w:sz="4" w:space="0" w:color="000000"/>
            </w:tcBorders>
            <w:shd w:val="clear" w:color="auto" w:fill="D9E2F3"/>
            <w:tcMar>
              <w:top w:w="0" w:type="dxa"/>
              <w:left w:w="70" w:type="dxa"/>
              <w:bottom w:w="0" w:type="dxa"/>
              <w:right w:w="70" w:type="dxa"/>
            </w:tcMar>
            <w:vAlign w:val="center"/>
          </w:tcPr>
          <w:p w14:paraId="42FD1118" w14:textId="77777777" w:rsidR="00171E71" w:rsidRPr="00A46C5A" w:rsidRDefault="00171E71" w:rsidP="00493EAB">
            <w:pPr>
              <w:pStyle w:val="Standard"/>
              <w:spacing w:line="240" w:lineRule="auto"/>
              <w:jc w:val="center"/>
            </w:pPr>
            <w:r w:rsidRPr="00A46C5A">
              <w:rPr>
                <w:rFonts w:ascii="Times New Roman" w:hAnsi="Times New Roman"/>
                <w:bCs/>
              </w:rPr>
              <w:t>Data transakcji</w:t>
            </w:r>
          </w:p>
        </w:tc>
        <w:tc>
          <w:tcPr>
            <w:tcW w:w="1276" w:type="dxa"/>
            <w:tcBorders>
              <w:top w:val="single" w:sz="4" w:space="0" w:color="000000"/>
              <w:bottom w:val="single" w:sz="4" w:space="0" w:color="000000"/>
              <w:right w:val="single" w:sz="4" w:space="0" w:color="000000"/>
            </w:tcBorders>
            <w:shd w:val="clear" w:color="auto" w:fill="D9E2F3"/>
            <w:tcMar>
              <w:top w:w="0" w:type="dxa"/>
              <w:left w:w="70" w:type="dxa"/>
              <w:bottom w:w="0" w:type="dxa"/>
              <w:right w:w="70" w:type="dxa"/>
            </w:tcMar>
            <w:vAlign w:val="center"/>
          </w:tcPr>
          <w:p w14:paraId="01859E53" w14:textId="77777777" w:rsidR="00171E71" w:rsidRPr="00A46C5A" w:rsidRDefault="00171E71" w:rsidP="00493EAB">
            <w:pPr>
              <w:pStyle w:val="Standard"/>
              <w:spacing w:line="240" w:lineRule="auto"/>
              <w:jc w:val="center"/>
            </w:pPr>
            <w:r w:rsidRPr="00A46C5A">
              <w:rPr>
                <w:rFonts w:ascii="Times New Roman" w:hAnsi="Times New Roman"/>
                <w:bCs/>
              </w:rPr>
              <w:t>Gmina</w:t>
            </w:r>
          </w:p>
        </w:tc>
        <w:tc>
          <w:tcPr>
            <w:tcW w:w="1559" w:type="dxa"/>
            <w:tcBorders>
              <w:top w:val="single" w:sz="4" w:space="0" w:color="000000"/>
              <w:bottom w:val="single" w:sz="4" w:space="0" w:color="000000"/>
              <w:right w:val="single" w:sz="4" w:space="0" w:color="000000"/>
            </w:tcBorders>
            <w:shd w:val="clear" w:color="auto" w:fill="D9E2F3"/>
            <w:tcMar>
              <w:top w:w="0" w:type="dxa"/>
              <w:left w:w="70" w:type="dxa"/>
              <w:bottom w:w="0" w:type="dxa"/>
              <w:right w:w="70" w:type="dxa"/>
            </w:tcMar>
            <w:vAlign w:val="center"/>
          </w:tcPr>
          <w:p w14:paraId="7E1794CA" w14:textId="77777777" w:rsidR="00171E71" w:rsidRPr="00A46C5A" w:rsidRDefault="00171E71" w:rsidP="00493EAB">
            <w:pPr>
              <w:pStyle w:val="Standard"/>
              <w:spacing w:line="240" w:lineRule="auto"/>
              <w:jc w:val="center"/>
            </w:pPr>
            <w:r w:rsidRPr="00A46C5A">
              <w:rPr>
                <w:rFonts w:ascii="Times New Roman" w:hAnsi="Times New Roman"/>
                <w:bCs/>
              </w:rPr>
              <w:t>Obręb</w:t>
            </w:r>
          </w:p>
        </w:tc>
        <w:tc>
          <w:tcPr>
            <w:tcW w:w="1417" w:type="dxa"/>
            <w:tcBorders>
              <w:top w:val="single" w:sz="4" w:space="0" w:color="000000"/>
              <w:bottom w:val="single" w:sz="4" w:space="0" w:color="000000"/>
              <w:right w:val="single" w:sz="4" w:space="0" w:color="000000"/>
            </w:tcBorders>
            <w:shd w:val="clear" w:color="auto" w:fill="D9E2F3"/>
            <w:tcMar>
              <w:top w:w="0" w:type="dxa"/>
              <w:left w:w="70" w:type="dxa"/>
              <w:bottom w:w="0" w:type="dxa"/>
              <w:right w:w="70" w:type="dxa"/>
            </w:tcMar>
            <w:vAlign w:val="center"/>
          </w:tcPr>
          <w:p w14:paraId="69B403E4" w14:textId="77777777" w:rsidR="00171E71" w:rsidRPr="00A46C5A" w:rsidRDefault="00171E71" w:rsidP="00493EAB">
            <w:pPr>
              <w:pStyle w:val="Standard"/>
              <w:spacing w:line="240" w:lineRule="auto"/>
              <w:jc w:val="center"/>
            </w:pPr>
            <w:r w:rsidRPr="00A46C5A">
              <w:rPr>
                <w:rFonts w:ascii="Times New Roman" w:hAnsi="Times New Roman"/>
                <w:bCs/>
              </w:rPr>
              <w:t>Cena transakcyjna za 1 m</w:t>
            </w:r>
            <w:r w:rsidRPr="00A46C5A">
              <w:rPr>
                <w:rFonts w:ascii="Times New Roman" w:hAnsi="Times New Roman"/>
                <w:bCs/>
                <w:vertAlign w:val="superscript"/>
              </w:rPr>
              <w:t>2</w:t>
            </w:r>
          </w:p>
          <w:p w14:paraId="3A06269B" w14:textId="77777777" w:rsidR="00171E71" w:rsidRPr="00A46C5A" w:rsidRDefault="00171E71" w:rsidP="00493EAB">
            <w:pPr>
              <w:pStyle w:val="Standard"/>
              <w:spacing w:line="240" w:lineRule="auto"/>
              <w:jc w:val="center"/>
            </w:pPr>
            <w:r w:rsidRPr="00A46C5A">
              <w:rPr>
                <w:rFonts w:ascii="Times New Roman" w:hAnsi="Times New Roman"/>
                <w:bCs/>
              </w:rPr>
              <w:t>[zł/ m</w:t>
            </w:r>
            <w:r w:rsidRPr="00A46C5A">
              <w:rPr>
                <w:rFonts w:ascii="Times New Roman" w:hAnsi="Times New Roman"/>
                <w:bCs/>
                <w:vertAlign w:val="superscript"/>
              </w:rPr>
              <w:t>2</w:t>
            </w:r>
            <w:r w:rsidRPr="00A46C5A">
              <w:rPr>
                <w:rFonts w:ascii="Times New Roman" w:hAnsi="Times New Roman"/>
                <w:bCs/>
              </w:rPr>
              <w:t>]</w:t>
            </w:r>
          </w:p>
        </w:tc>
        <w:tc>
          <w:tcPr>
            <w:tcW w:w="1543" w:type="dxa"/>
            <w:tcBorders>
              <w:top w:val="single" w:sz="4" w:space="0" w:color="000000"/>
              <w:bottom w:val="single" w:sz="4" w:space="0" w:color="000000"/>
              <w:right w:val="single" w:sz="4" w:space="0" w:color="000000"/>
            </w:tcBorders>
            <w:shd w:val="clear" w:color="auto" w:fill="D9E2F3"/>
            <w:tcMar>
              <w:top w:w="0" w:type="dxa"/>
              <w:left w:w="70" w:type="dxa"/>
              <w:bottom w:w="0" w:type="dxa"/>
              <w:right w:w="70" w:type="dxa"/>
            </w:tcMar>
            <w:vAlign w:val="center"/>
          </w:tcPr>
          <w:p w14:paraId="1903EDEA" w14:textId="77777777" w:rsidR="00171E71" w:rsidRPr="00A46C5A" w:rsidRDefault="00171E71" w:rsidP="00493EAB">
            <w:pPr>
              <w:pStyle w:val="Standard"/>
              <w:spacing w:line="240" w:lineRule="auto"/>
            </w:pPr>
            <w:r w:rsidRPr="00A46C5A">
              <w:rPr>
                <w:rFonts w:ascii="Times New Roman" w:hAnsi="Times New Roman"/>
                <w:bCs/>
              </w:rPr>
              <w:t>Powierzchnia działki [m</w:t>
            </w:r>
            <w:r w:rsidRPr="00A46C5A">
              <w:rPr>
                <w:rFonts w:ascii="Times New Roman" w:hAnsi="Times New Roman"/>
                <w:bCs/>
                <w:vertAlign w:val="superscript"/>
              </w:rPr>
              <w:t>2</w:t>
            </w:r>
            <w:r w:rsidRPr="00A46C5A">
              <w:rPr>
                <w:rFonts w:ascii="Times New Roman" w:hAnsi="Times New Roman"/>
                <w:bCs/>
              </w:rPr>
              <w:t>]</w:t>
            </w:r>
          </w:p>
        </w:tc>
        <w:tc>
          <w:tcPr>
            <w:tcW w:w="2426" w:type="dxa"/>
            <w:tcBorders>
              <w:top w:val="single" w:sz="4" w:space="0" w:color="000000"/>
              <w:bottom w:val="single" w:sz="4" w:space="0" w:color="000000"/>
              <w:right w:val="single" w:sz="4" w:space="0" w:color="000000"/>
            </w:tcBorders>
            <w:shd w:val="clear" w:color="auto" w:fill="D9E2F3"/>
            <w:tcMar>
              <w:top w:w="0" w:type="dxa"/>
              <w:left w:w="70" w:type="dxa"/>
              <w:bottom w:w="0" w:type="dxa"/>
              <w:right w:w="70" w:type="dxa"/>
            </w:tcMar>
            <w:vAlign w:val="center"/>
          </w:tcPr>
          <w:p w14:paraId="46CAE92C" w14:textId="77777777" w:rsidR="00171E71" w:rsidRPr="00A46C5A" w:rsidRDefault="00171E71" w:rsidP="00493EAB">
            <w:pPr>
              <w:pStyle w:val="Standard"/>
              <w:spacing w:line="240" w:lineRule="auto"/>
              <w:jc w:val="center"/>
            </w:pPr>
            <w:r w:rsidRPr="00A46C5A">
              <w:rPr>
                <w:rFonts w:ascii="Times New Roman" w:hAnsi="Times New Roman"/>
                <w:bCs/>
              </w:rPr>
              <w:t>Zaktualizowana cena transakcji za 1 m</w:t>
            </w:r>
            <w:r w:rsidRPr="00A46C5A">
              <w:rPr>
                <w:rFonts w:ascii="Times New Roman" w:hAnsi="Times New Roman"/>
                <w:bCs/>
                <w:vertAlign w:val="superscript"/>
              </w:rPr>
              <w:t>2</w:t>
            </w:r>
          </w:p>
          <w:p w14:paraId="71601B8B" w14:textId="77777777" w:rsidR="00171E71" w:rsidRPr="00A46C5A" w:rsidRDefault="00171E71" w:rsidP="00493EAB">
            <w:pPr>
              <w:pStyle w:val="Standard"/>
              <w:spacing w:line="240" w:lineRule="auto"/>
              <w:jc w:val="center"/>
            </w:pPr>
            <w:r w:rsidRPr="00A46C5A">
              <w:rPr>
                <w:rFonts w:ascii="Times New Roman" w:hAnsi="Times New Roman"/>
                <w:bCs/>
              </w:rPr>
              <w:t>[zł/ m</w:t>
            </w:r>
            <w:r w:rsidRPr="00A46C5A">
              <w:rPr>
                <w:rFonts w:ascii="Times New Roman" w:hAnsi="Times New Roman"/>
                <w:bCs/>
                <w:vertAlign w:val="superscript"/>
              </w:rPr>
              <w:t>2</w:t>
            </w:r>
            <w:r w:rsidRPr="00A46C5A">
              <w:rPr>
                <w:rFonts w:ascii="Times New Roman" w:hAnsi="Times New Roman"/>
                <w:bCs/>
              </w:rPr>
              <w:t>]</w:t>
            </w:r>
          </w:p>
        </w:tc>
      </w:tr>
      <w:tr w:rsidR="00171E71" w14:paraId="21944853" w14:textId="77777777" w:rsidTr="00896E41">
        <w:trPr>
          <w:trHeight w:val="264"/>
        </w:trPr>
        <w:tc>
          <w:tcPr>
            <w:tcW w:w="141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E14EBB" w14:textId="77777777" w:rsidR="00171E71" w:rsidRPr="00A46C5A" w:rsidRDefault="00171E71" w:rsidP="00493EAB">
            <w:pPr>
              <w:pStyle w:val="Standard"/>
              <w:spacing w:line="240" w:lineRule="auto"/>
            </w:pPr>
            <w:r w:rsidRPr="00A46C5A">
              <w:rPr>
                <w:rFonts w:ascii="Times New Roman" w:hAnsi="Times New Roman"/>
                <w:bCs/>
              </w:rPr>
              <w:t>21.02.2022</w:t>
            </w:r>
          </w:p>
        </w:tc>
        <w:tc>
          <w:tcPr>
            <w:tcW w:w="1276"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2296225E" w14:textId="77777777" w:rsidR="00171E71" w:rsidRPr="00A46C5A" w:rsidRDefault="00171E71" w:rsidP="00493EAB">
            <w:pPr>
              <w:pStyle w:val="Standard"/>
              <w:spacing w:line="240" w:lineRule="auto"/>
            </w:pPr>
            <w:r w:rsidRPr="00A46C5A">
              <w:rPr>
                <w:rFonts w:ascii="Times New Roman" w:hAnsi="Times New Roman"/>
                <w:bCs/>
              </w:rPr>
              <w:t>Nowogard</w:t>
            </w:r>
          </w:p>
        </w:tc>
        <w:tc>
          <w:tcPr>
            <w:tcW w:w="155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74B14018" w14:textId="77777777" w:rsidR="00171E71" w:rsidRPr="00A46C5A" w:rsidRDefault="00171E71" w:rsidP="00493EAB">
            <w:pPr>
              <w:pStyle w:val="Standard"/>
              <w:spacing w:line="240" w:lineRule="auto"/>
            </w:pPr>
            <w:r w:rsidRPr="00A46C5A">
              <w:rPr>
                <w:rFonts w:ascii="Times New Roman" w:hAnsi="Times New Roman"/>
                <w:bCs/>
              </w:rPr>
              <w:t>Nowogard – 1</w:t>
            </w:r>
          </w:p>
        </w:tc>
        <w:tc>
          <w:tcPr>
            <w:tcW w:w="141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4EF4D1A7" w14:textId="77777777" w:rsidR="00171E71" w:rsidRPr="00A46C5A" w:rsidRDefault="00171E71" w:rsidP="00493EAB">
            <w:pPr>
              <w:pStyle w:val="Standard"/>
              <w:spacing w:line="240" w:lineRule="auto"/>
              <w:jc w:val="center"/>
            </w:pPr>
            <w:r w:rsidRPr="00A46C5A">
              <w:rPr>
                <w:rFonts w:ascii="Times New Roman" w:hAnsi="Times New Roman"/>
                <w:bCs/>
              </w:rPr>
              <w:t>49,38</w:t>
            </w:r>
          </w:p>
        </w:tc>
        <w:tc>
          <w:tcPr>
            <w:tcW w:w="1543"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211BD41A" w14:textId="77777777" w:rsidR="00171E71" w:rsidRPr="00A46C5A" w:rsidRDefault="00171E71" w:rsidP="00493EAB">
            <w:pPr>
              <w:pStyle w:val="Standard"/>
              <w:spacing w:line="240" w:lineRule="auto"/>
              <w:jc w:val="center"/>
            </w:pPr>
            <w:r w:rsidRPr="00A46C5A">
              <w:rPr>
                <w:rFonts w:ascii="Times New Roman" w:hAnsi="Times New Roman"/>
                <w:bCs/>
              </w:rPr>
              <w:t>810</w:t>
            </w:r>
          </w:p>
        </w:tc>
        <w:tc>
          <w:tcPr>
            <w:tcW w:w="2426"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43A4BA85" w14:textId="77777777" w:rsidR="00171E71" w:rsidRPr="00A46C5A" w:rsidRDefault="00171E71" w:rsidP="00493EAB">
            <w:pPr>
              <w:pStyle w:val="Standard"/>
              <w:spacing w:line="240" w:lineRule="auto"/>
              <w:jc w:val="center"/>
            </w:pPr>
            <w:r w:rsidRPr="00A46C5A">
              <w:rPr>
                <w:rFonts w:ascii="Times New Roman" w:hAnsi="Times New Roman"/>
                <w:bCs/>
              </w:rPr>
              <w:t>53,82</w:t>
            </w:r>
          </w:p>
        </w:tc>
      </w:tr>
      <w:tr w:rsidR="00171E71" w14:paraId="19CD9F4A" w14:textId="77777777" w:rsidTr="00896E41">
        <w:trPr>
          <w:trHeight w:val="264"/>
        </w:trPr>
        <w:tc>
          <w:tcPr>
            <w:tcW w:w="141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760FB" w14:textId="77777777" w:rsidR="00171E71" w:rsidRPr="00A46C5A" w:rsidRDefault="00171E71" w:rsidP="00493EAB">
            <w:pPr>
              <w:pStyle w:val="Standard"/>
              <w:spacing w:line="240" w:lineRule="auto"/>
            </w:pPr>
            <w:r w:rsidRPr="00A46C5A">
              <w:rPr>
                <w:rFonts w:ascii="Times New Roman" w:hAnsi="Times New Roman"/>
                <w:bCs/>
              </w:rPr>
              <w:t>11.01.2021</w:t>
            </w:r>
          </w:p>
        </w:tc>
        <w:tc>
          <w:tcPr>
            <w:tcW w:w="1276"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40406C4D" w14:textId="77777777" w:rsidR="00171E71" w:rsidRPr="00A46C5A" w:rsidRDefault="00171E71" w:rsidP="00493EAB">
            <w:pPr>
              <w:pStyle w:val="Standard"/>
              <w:spacing w:line="240" w:lineRule="auto"/>
            </w:pPr>
            <w:r w:rsidRPr="00A46C5A">
              <w:rPr>
                <w:rFonts w:ascii="Times New Roman" w:hAnsi="Times New Roman"/>
                <w:bCs/>
              </w:rPr>
              <w:t>Nowogard</w:t>
            </w:r>
          </w:p>
        </w:tc>
        <w:tc>
          <w:tcPr>
            <w:tcW w:w="155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0287AE21" w14:textId="77777777" w:rsidR="00171E71" w:rsidRPr="00A46C5A" w:rsidRDefault="00171E71" w:rsidP="00493EAB">
            <w:pPr>
              <w:pStyle w:val="Standard"/>
              <w:spacing w:line="240" w:lineRule="auto"/>
            </w:pPr>
            <w:r w:rsidRPr="00A46C5A">
              <w:rPr>
                <w:rFonts w:ascii="Times New Roman" w:hAnsi="Times New Roman"/>
                <w:bCs/>
              </w:rPr>
              <w:t>Nowogard – 2</w:t>
            </w:r>
          </w:p>
        </w:tc>
        <w:tc>
          <w:tcPr>
            <w:tcW w:w="141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2A2FC789" w14:textId="77777777" w:rsidR="00171E71" w:rsidRPr="00A46C5A" w:rsidRDefault="00171E71" w:rsidP="00493EAB">
            <w:pPr>
              <w:pStyle w:val="Standard"/>
              <w:spacing w:line="240" w:lineRule="auto"/>
              <w:jc w:val="center"/>
            </w:pPr>
            <w:r w:rsidRPr="00A46C5A">
              <w:rPr>
                <w:rFonts w:ascii="Times New Roman" w:hAnsi="Times New Roman"/>
                <w:bCs/>
              </w:rPr>
              <w:t>118,42</w:t>
            </w:r>
          </w:p>
        </w:tc>
        <w:tc>
          <w:tcPr>
            <w:tcW w:w="1543"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0606984F" w14:textId="77777777" w:rsidR="00171E71" w:rsidRPr="00A46C5A" w:rsidRDefault="00171E71" w:rsidP="00493EAB">
            <w:pPr>
              <w:pStyle w:val="Standard"/>
              <w:spacing w:line="240" w:lineRule="auto"/>
              <w:jc w:val="center"/>
            </w:pPr>
            <w:r w:rsidRPr="00A46C5A">
              <w:rPr>
                <w:rFonts w:ascii="Times New Roman" w:hAnsi="Times New Roman"/>
                <w:bCs/>
              </w:rPr>
              <w:t>1070</w:t>
            </w:r>
          </w:p>
        </w:tc>
        <w:tc>
          <w:tcPr>
            <w:tcW w:w="2426"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460DC865" w14:textId="77777777" w:rsidR="00171E71" w:rsidRPr="00A46C5A" w:rsidRDefault="00171E71" w:rsidP="00493EAB">
            <w:pPr>
              <w:pStyle w:val="Standard"/>
              <w:spacing w:line="240" w:lineRule="auto"/>
              <w:jc w:val="center"/>
            </w:pPr>
            <w:r w:rsidRPr="00A46C5A">
              <w:rPr>
                <w:rFonts w:ascii="Times New Roman" w:hAnsi="Times New Roman"/>
                <w:bCs/>
              </w:rPr>
              <w:t>144,47</w:t>
            </w:r>
          </w:p>
        </w:tc>
      </w:tr>
    </w:tbl>
    <w:p w14:paraId="00649023" w14:textId="77777777" w:rsidR="00171E71" w:rsidRDefault="00171E71" w:rsidP="00493EAB">
      <w:pPr>
        <w:pStyle w:val="Standard"/>
        <w:spacing w:after="0" w:line="240" w:lineRule="auto"/>
        <w:ind w:firstLine="360"/>
        <w:jc w:val="both"/>
        <w:rPr>
          <w:rFonts w:ascii="Times New Roman" w:eastAsia="Times New Roman" w:hAnsi="Times New Roman"/>
          <w:sz w:val="24"/>
          <w:szCs w:val="24"/>
          <w:u w:val="single"/>
        </w:rPr>
      </w:pPr>
    </w:p>
    <w:p w14:paraId="2CFA2F4F" w14:textId="77777777" w:rsidR="00171E71" w:rsidRDefault="00171E71" w:rsidP="00493EAB">
      <w:pPr>
        <w:pStyle w:val="Standard"/>
        <w:spacing w:after="0" w:line="240" w:lineRule="auto"/>
        <w:ind w:firstLine="360"/>
        <w:jc w:val="both"/>
        <w:rPr>
          <w:rFonts w:ascii="Times New Roman" w:eastAsia="Times New Roman" w:hAnsi="Times New Roman"/>
          <w:sz w:val="24"/>
          <w:szCs w:val="24"/>
          <w:u w:val="single"/>
        </w:rPr>
      </w:pPr>
    </w:p>
    <w:p w14:paraId="14F5C411" w14:textId="77777777" w:rsidR="00171E71" w:rsidRDefault="00171E71" w:rsidP="00493EAB">
      <w:pPr>
        <w:pStyle w:val="Standard"/>
        <w:spacing w:after="0" w:line="240" w:lineRule="auto"/>
        <w:ind w:firstLine="360"/>
        <w:jc w:val="both"/>
      </w:pPr>
      <w:r>
        <w:rPr>
          <w:rFonts w:ascii="Times New Roman" w:eastAsia="Times New Roman" w:hAnsi="Times New Roman"/>
          <w:sz w:val="24"/>
          <w:szCs w:val="24"/>
          <w:u w:val="single"/>
        </w:rPr>
        <w:t>Dla analizowanego rynku nieruchomości określono:</w:t>
      </w:r>
    </w:p>
    <w:p w14:paraId="336F8449" w14:textId="77777777" w:rsidR="00171E71" w:rsidRDefault="00171E71" w:rsidP="00493EAB">
      <w:pPr>
        <w:pStyle w:val="Standard"/>
        <w:spacing w:after="0" w:line="240" w:lineRule="auto"/>
        <w:ind w:firstLine="360"/>
        <w:jc w:val="both"/>
      </w:pPr>
      <w:r>
        <w:rPr>
          <w:rFonts w:ascii="Times New Roman" w:eastAsia="Times New Roman" w:hAnsi="Times New Roman"/>
          <w:sz w:val="24"/>
          <w:szCs w:val="24"/>
        </w:rPr>
        <w:t xml:space="preserve">Cena minimalna:             </w:t>
      </w:r>
      <w:r>
        <w:rPr>
          <w:rFonts w:ascii="Times New Roman" w:eastAsia="Times New Roman" w:hAnsi="Times New Roman"/>
          <w:b/>
          <w:sz w:val="24"/>
          <w:szCs w:val="24"/>
        </w:rPr>
        <w:t>C</w:t>
      </w:r>
      <w:r>
        <w:rPr>
          <w:rFonts w:ascii="Times New Roman" w:eastAsia="Times New Roman" w:hAnsi="Times New Roman"/>
          <w:b/>
          <w:sz w:val="24"/>
          <w:szCs w:val="24"/>
          <w:vertAlign w:val="subscript"/>
        </w:rPr>
        <w:t>min</w:t>
      </w:r>
      <w:r>
        <w:rPr>
          <w:rFonts w:ascii="Times New Roman" w:eastAsia="Times New Roman" w:hAnsi="Times New Roman"/>
          <w:b/>
          <w:sz w:val="24"/>
          <w:szCs w:val="24"/>
        </w:rPr>
        <w:t xml:space="preserve">    </w:t>
      </w:r>
      <w:r>
        <w:rPr>
          <w:rFonts w:ascii="Times New Roman" w:eastAsia="Times New Roman" w:hAnsi="Times New Roman"/>
          <w:sz w:val="24"/>
          <w:szCs w:val="24"/>
        </w:rPr>
        <w:t>=   53,82 zł/</w:t>
      </w:r>
      <w:r>
        <w:rPr>
          <w:rFonts w:ascii="Times New Roman" w:hAnsi="Times New Roman"/>
          <w:bCs/>
          <w:sz w:val="24"/>
          <w:szCs w:val="24"/>
        </w:rPr>
        <w:t xml:space="preserve"> m</w:t>
      </w:r>
      <w:r>
        <w:rPr>
          <w:rFonts w:ascii="Times New Roman" w:hAnsi="Times New Roman"/>
          <w:bCs/>
          <w:sz w:val="24"/>
          <w:szCs w:val="24"/>
          <w:vertAlign w:val="superscript"/>
        </w:rPr>
        <w:t>2</w:t>
      </w:r>
    </w:p>
    <w:p w14:paraId="5832C2A1" w14:textId="77777777" w:rsidR="00171E71" w:rsidRDefault="00171E71" w:rsidP="00493EAB">
      <w:pPr>
        <w:pStyle w:val="Standard"/>
        <w:spacing w:after="0" w:line="240" w:lineRule="auto"/>
        <w:ind w:firstLine="360"/>
        <w:jc w:val="both"/>
      </w:pPr>
      <w:r>
        <w:rPr>
          <w:rFonts w:ascii="Times New Roman" w:eastAsia="Times New Roman" w:hAnsi="Times New Roman"/>
          <w:sz w:val="24"/>
          <w:szCs w:val="24"/>
        </w:rPr>
        <w:t>Cena maksymalna</w:t>
      </w:r>
      <w:r>
        <w:rPr>
          <w:rFonts w:ascii="Times New Roman" w:eastAsia="Times New Roman" w:hAnsi="Times New Roman"/>
          <w:b/>
          <w:sz w:val="24"/>
          <w:szCs w:val="24"/>
        </w:rPr>
        <w:t>:         C</w:t>
      </w:r>
      <w:r>
        <w:rPr>
          <w:rFonts w:ascii="Times New Roman" w:eastAsia="Times New Roman" w:hAnsi="Times New Roman"/>
          <w:b/>
          <w:sz w:val="24"/>
          <w:szCs w:val="24"/>
          <w:vertAlign w:val="subscript"/>
        </w:rPr>
        <w:t>max</w:t>
      </w:r>
      <w:r>
        <w:rPr>
          <w:rFonts w:ascii="Times New Roman" w:eastAsia="Times New Roman" w:hAnsi="Times New Roman"/>
          <w:sz w:val="24"/>
          <w:szCs w:val="24"/>
        </w:rPr>
        <w:t xml:space="preserve">    =   144,47 zł/</w:t>
      </w:r>
      <w:r>
        <w:rPr>
          <w:rFonts w:ascii="Times New Roman" w:hAnsi="Times New Roman"/>
          <w:bCs/>
          <w:sz w:val="24"/>
          <w:szCs w:val="24"/>
        </w:rPr>
        <w:t xml:space="preserve"> m</w:t>
      </w:r>
      <w:r>
        <w:rPr>
          <w:rFonts w:ascii="Times New Roman" w:hAnsi="Times New Roman"/>
          <w:bCs/>
          <w:sz w:val="24"/>
          <w:szCs w:val="24"/>
          <w:vertAlign w:val="superscript"/>
        </w:rPr>
        <w:t>2</w:t>
      </w:r>
    </w:p>
    <w:p w14:paraId="2E6179B9" w14:textId="77777777" w:rsidR="00171E71" w:rsidRDefault="00171E71" w:rsidP="00493EAB">
      <w:pPr>
        <w:pStyle w:val="Standard"/>
        <w:spacing w:after="0" w:line="240" w:lineRule="auto"/>
        <w:ind w:firstLine="360"/>
        <w:jc w:val="both"/>
      </w:pPr>
      <w:r>
        <w:rPr>
          <w:rFonts w:ascii="Times New Roman" w:eastAsia="Times New Roman" w:hAnsi="Times New Roman"/>
          <w:sz w:val="24"/>
          <w:szCs w:val="24"/>
        </w:rPr>
        <w:t xml:space="preserve">Cena średnia:                   </w:t>
      </w:r>
      <w:r>
        <w:rPr>
          <w:rFonts w:ascii="Times New Roman" w:eastAsia="Times New Roman" w:hAnsi="Times New Roman"/>
          <w:b/>
          <w:sz w:val="24"/>
          <w:szCs w:val="24"/>
        </w:rPr>
        <w:t>C</w:t>
      </w:r>
      <w:r>
        <w:rPr>
          <w:rFonts w:ascii="Times New Roman" w:eastAsia="Times New Roman" w:hAnsi="Times New Roman"/>
          <w:b/>
          <w:sz w:val="24"/>
          <w:szCs w:val="24"/>
          <w:vertAlign w:val="subscript"/>
        </w:rPr>
        <w:t>śr</w:t>
      </w:r>
      <w:r>
        <w:rPr>
          <w:rFonts w:ascii="Times New Roman" w:eastAsia="Times New Roman" w:hAnsi="Times New Roman"/>
          <w:b/>
          <w:sz w:val="24"/>
          <w:szCs w:val="24"/>
        </w:rPr>
        <w:t xml:space="preserve">  </w:t>
      </w:r>
      <w:r>
        <w:rPr>
          <w:rFonts w:ascii="Times New Roman" w:eastAsia="Times New Roman" w:hAnsi="Times New Roman"/>
          <w:sz w:val="24"/>
          <w:szCs w:val="24"/>
        </w:rPr>
        <w:t xml:space="preserve">    =   86,92 zł/</w:t>
      </w:r>
      <w:r>
        <w:rPr>
          <w:rFonts w:ascii="Times New Roman" w:hAnsi="Times New Roman"/>
          <w:bCs/>
          <w:sz w:val="24"/>
          <w:szCs w:val="24"/>
        </w:rPr>
        <w:t xml:space="preserve"> m</w:t>
      </w:r>
      <w:r>
        <w:rPr>
          <w:rFonts w:ascii="Times New Roman" w:hAnsi="Times New Roman"/>
          <w:bCs/>
          <w:sz w:val="24"/>
          <w:szCs w:val="24"/>
          <w:vertAlign w:val="superscript"/>
        </w:rPr>
        <w:t>2</w:t>
      </w:r>
    </w:p>
    <w:p w14:paraId="6C8782E0" w14:textId="77777777" w:rsidR="00171E71" w:rsidRDefault="00171E71" w:rsidP="00493EAB">
      <w:pPr>
        <w:pStyle w:val="Standard"/>
        <w:spacing w:after="0" w:line="240" w:lineRule="auto"/>
        <w:ind w:firstLine="360"/>
        <w:jc w:val="both"/>
        <w:rPr>
          <w:rFonts w:ascii="Times New Roman" w:eastAsia="Times New Roman" w:hAnsi="Times New Roman"/>
          <w:sz w:val="24"/>
          <w:szCs w:val="24"/>
        </w:rPr>
      </w:pPr>
    </w:p>
    <w:p w14:paraId="25B4AEF5" w14:textId="77777777" w:rsidR="00171E71" w:rsidRDefault="00171E71" w:rsidP="00493EAB">
      <w:pPr>
        <w:pStyle w:val="Standard"/>
        <w:spacing w:after="0" w:line="240" w:lineRule="auto"/>
        <w:ind w:firstLine="360"/>
        <w:jc w:val="both"/>
      </w:pPr>
      <w:r>
        <w:rPr>
          <w:rFonts w:ascii="Times New Roman" w:eastAsia="Times New Roman" w:hAnsi="Times New Roman"/>
          <w:sz w:val="24"/>
          <w:szCs w:val="24"/>
          <w:u w:val="single"/>
        </w:rPr>
        <w:t>Określenie zakresu (granicy dolnej i górnej) współczynników korygujących:</w:t>
      </w:r>
    </w:p>
    <w:p w14:paraId="1FA8AFEB" w14:textId="77777777" w:rsidR="00171E71" w:rsidRDefault="00171E71" w:rsidP="00493EAB">
      <w:pPr>
        <w:pStyle w:val="Standard"/>
        <w:spacing w:after="0" w:line="240" w:lineRule="auto"/>
        <w:ind w:firstLine="360"/>
        <w:jc w:val="both"/>
      </w:pPr>
      <w:r>
        <w:rPr>
          <w:rFonts w:ascii="Times New Roman" w:eastAsia="Times New Roman" w:hAnsi="Times New Roman"/>
          <w:sz w:val="24"/>
          <w:szCs w:val="24"/>
        </w:rPr>
        <w:t xml:space="preserve">Granica dolna:      </w:t>
      </w:r>
      <w:r>
        <w:rPr>
          <w:rFonts w:ascii="Times New Roman" w:eastAsia="Times New Roman" w:hAnsi="Times New Roman"/>
          <w:b/>
          <w:sz w:val="24"/>
          <w:szCs w:val="24"/>
        </w:rPr>
        <w:t>Wd</w:t>
      </w:r>
      <w:r>
        <w:rPr>
          <w:rFonts w:ascii="Times New Roman" w:eastAsia="Times New Roman" w:hAnsi="Times New Roman"/>
          <w:sz w:val="24"/>
          <w:szCs w:val="24"/>
        </w:rPr>
        <w:t xml:space="preserve"> = C</w:t>
      </w:r>
      <w:r>
        <w:rPr>
          <w:rFonts w:ascii="Times New Roman" w:eastAsia="Times New Roman" w:hAnsi="Times New Roman"/>
          <w:sz w:val="24"/>
          <w:szCs w:val="24"/>
          <w:vertAlign w:val="subscript"/>
        </w:rPr>
        <w:t>min</w:t>
      </w:r>
      <w:r>
        <w:rPr>
          <w:rFonts w:ascii="Times New Roman" w:eastAsia="Times New Roman" w:hAnsi="Times New Roman"/>
          <w:sz w:val="24"/>
          <w:szCs w:val="24"/>
        </w:rPr>
        <w:t>/C</w:t>
      </w:r>
      <w:r>
        <w:rPr>
          <w:rFonts w:ascii="Times New Roman" w:eastAsia="Times New Roman" w:hAnsi="Times New Roman"/>
          <w:sz w:val="24"/>
          <w:szCs w:val="24"/>
          <w:vertAlign w:val="subscript"/>
        </w:rPr>
        <w:t>śr</w:t>
      </w:r>
      <w:r>
        <w:rPr>
          <w:rFonts w:ascii="Times New Roman" w:eastAsia="Times New Roman" w:hAnsi="Times New Roman"/>
          <w:sz w:val="24"/>
          <w:szCs w:val="24"/>
        </w:rPr>
        <w:t xml:space="preserve"> = 53,82 / 86,92 = </w:t>
      </w:r>
      <w:r>
        <w:rPr>
          <w:rFonts w:ascii="Times New Roman" w:eastAsia="Times New Roman" w:hAnsi="Times New Roman"/>
          <w:b/>
          <w:sz w:val="24"/>
          <w:szCs w:val="24"/>
        </w:rPr>
        <w:t>0,619</w:t>
      </w:r>
    </w:p>
    <w:p w14:paraId="257185B7" w14:textId="77777777" w:rsidR="00171E71" w:rsidRDefault="00171E71" w:rsidP="00493EAB">
      <w:pPr>
        <w:pStyle w:val="Standard"/>
        <w:spacing w:after="0" w:line="240" w:lineRule="auto"/>
        <w:ind w:firstLine="360"/>
        <w:jc w:val="both"/>
      </w:pPr>
      <w:r>
        <w:rPr>
          <w:rFonts w:ascii="Times New Roman" w:eastAsia="Times New Roman" w:hAnsi="Times New Roman"/>
          <w:sz w:val="24"/>
          <w:szCs w:val="24"/>
        </w:rPr>
        <w:t xml:space="preserve">Granica górna:      </w:t>
      </w:r>
      <w:r>
        <w:rPr>
          <w:rFonts w:ascii="Times New Roman" w:eastAsia="Times New Roman" w:hAnsi="Times New Roman"/>
          <w:b/>
          <w:sz w:val="24"/>
          <w:szCs w:val="24"/>
        </w:rPr>
        <w:t>Wg</w:t>
      </w:r>
      <w:r>
        <w:rPr>
          <w:rFonts w:ascii="Times New Roman" w:eastAsia="Times New Roman" w:hAnsi="Times New Roman"/>
          <w:sz w:val="24"/>
          <w:szCs w:val="24"/>
        </w:rPr>
        <w:t xml:space="preserve"> = C</w:t>
      </w:r>
      <w:r>
        <w:rPr>
          <w:rFonts w:ascii="Times New Roman" w:eastAsia="Times New Roman" w:hAnsi="Times New Roman"/>
          <w:sz w:val="24"/>
          <w:szCs w:val="24"/>
          <w:vertAlign w:val="subscript"/>
        </w:rPr>
        <w:t>max</w:t>
      </w:r>
      <w:r>
        <w:rPr>
          <w:rFonts w:ascii="Times New Roman" w:eastAsia="Times New Roman" w:hAnsi="Times New Roman"/>
          <w:sz w:val="24"/>
          <w:szCs w:val="24"/>
        </w:rPr>
        <w:t>/C</w:t>
      </w:r>
      <w:r>
        <w:rPr>
          <w:rFonts w:ascii="Times New Roman" w:eastAsia="Times New Roman" w:hAnsi="Times New Roman"/>
          <w:sz w:val="24"/>
          <w:szCs w:val="24"/>
          <w:vertAlign w:val="subscript"/>
        </w:rPr>
        <w:t>śr</w:t>
      </w:r>
      <w:r>
        <w:rPr>
          <w:rFonts w:ascii="Times New Roman" w:eastAsia="Times New Roman" w:hAnsi="Times New Roman"/>
          <w:sz w:val="24"/>
          <w:szCs w:val="24"/>
        </w:rPr>
        <w:t xml:space="preserve"> = 144,47 / 86,92 = </w:t>
      </w:r>
      <w:r>
        <w:rPr>
          <w:rFonts w:ascii="Times New Roman" w:eastAsia="Times New Roman" w:hAnsi="Times New Roman"/>
          <w:b/>
          <w:sz w:val="24"/>
          <w:szCs w:val="24"/>
        </w:rPr>
        <w:t>1,662</w:t>
      </w:r>
    </w:p>
    <w:p w14:paraId="0F2391EE" w14:textId="77777777" w:rsidR="00171E71" w:rsidRDefault="00171E71" w:rsidP="00493EAB">
      <w:pPr>
        <w:pStyle w:val="Standard"/>
        <w:spacing w:after="0" w:line="240" w:lineRule="auto"/>
        <w:jc w:val="both"/>
      </w:pPr>
    </w:p>
    <w:p w14:paraId="62A1FFC5" w14:textId="77777777" w:rsidR="00171E71" w:rsidRDefault="00171E71" w:rsidP="00493EAB">
      <w:pPr>
        <w:pStyle w:val="Standard"/>
        <w:spacing w:after="0" w:line="240" w:lineRule="auto"/>
        <w:jc w:val="both"/>
      </w:pPr>
      <w:r>
        <w:rPr>
          <w:rFonts w:ascii="Times New Roman" w:eastAsia="Times New Roman" w:hAnsi="Times New Roman"/>
          <w:sz w:val="24"/>
          <w:szCs w:val="24"/>
        </w:rPr>
        <w:t>Tabela nr 2.</w:t>
      </w:r>
      <w:r w:rsidRPr="00481500">
        <w:rPr>
          <w:rFonts w:ascii="Times New Roman" w:eastAsia="Times New Roman" w:hAnsi="Times New Roman"/>
          <w:sz w:val="24"/>
          <w:szCs w:val="24"/>
        </w:rPr>
        <w:t xml:space="preserve"> </w:t>
      </w:r>
      <w:r>
        <w:rPr>
          <w:rFonts w:ascii="Times New Roman" w:eastAsia="Times New Roman" w:hAnsi="Times New Roman"/>
          <w:sz w:val="24"/>
          <w:szCs w:val="24"/>
        </w:rPr>
        <w:t>Określenie cech rynkowych, ich wag i zakresu zmienności rzeczoznawca przedstawił jak niżej</w:t>
      </w:r>
    </w:p>
    <w:tbl>
      <w:tblPr>
        <w:tblW w:w="9498" w:type="dxa"/>
        <w:tblInd w:w="108" w:type="dxa"/>
        <w:tblLayout w:type="fixed"/>
        <w:tblCellMar>
          <w:left w:w="10" w:type="dxa"/>
          <w:right w:w="10" w:type="dxa"/>
        </w:tblCellMar>
        <w:tblLook w:val="04A0" w:firstRow="1" w:lastRow="0" w:firstColumn="1" w:lastColumn="0" w:noHBand="0" w:noVBand="1"/>
      </w:tblPr>
      <w:tblGrid>
        <w:gridCol w:w="595"/>
        <w:gridCol w:w="3373"/>
        <w:gridCol w:w="1446"/>
        <w:gridCol w:w="2091"/>
        <w:gridCol w:w="1993"/>
      </w:tblGrid>
      <w:tr w:rsidR="00171E71" w14:paraId="422542AB" w14:textId="77777777" w:rsidTr="00896E41">
        <w:trPr>
          <w:cantSplit/>
          <w:trHeight w:val="692"/>
          <w:tblHeader/>
        </w:trPr>
        <w:tc>
          <w:tcPr>
            <w:tcW w:w="595" w:type="dxa"/>
            <w:vMerge w:val="restart"/>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14:paraId="7BDE1E20" w14:textId="77777777" w:rsidR="00171E71" w:rsidRPr="00A46C5A" w:rsidRDefault="00171E71" w:rsidP="00493EAB">
            <w:pPr>
              <w:pStyle w:val="Standard"/>
              <w:keepNext/>
              <w:keepLines/>
              <w:spacing w:line="240" w:lineRule="auto"/>
              <w:jc w:val="center"/>
            </w:pPr>
            <w:r w:rsidRPr="00A46C5A">
              <w:rPr>
                <w:rFonts w:ascii="Times New Roman" w:hAnsi="Times New Roman"/>
              </w:rPr>
              <w:t>Lp.</w:t>
            </w:r>
          </w:p>
        </w:tc>
        <w:tc>
          <w:tcPr>
            <w:tcW w:w="3373" w:type="dxa"/>
            <w:vMerge w:val="restart"/>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14:paraId="1336B19B" w14:textId="77777777" w:rsidR="00171E71" w:rsidRPr="00A46C5A" w:rsidRDefault="00171E71" w:rsidP="00493EAB">
            <w:pPr>
              <w:pStyle w:val="Standard"/>
              <w:keepNext/>
              <w:keepLines/>
              <w:spacing w:line="240" w:lineRule="auto"/>
              <w:jc w:val="center"/>
            </w:pPr>
            <w:r w:rsidRPr="00A46C5A">
              <w:rPr>
                <w:rFonts w:ascii="Times New Roman" w:hAnsi="Times New Roman"/>
              </w:rPr>
              <w:t>Rodzaj cechy rynkowej</w:t>
            </w:r>
          </w:p>
        </w:tc>
        <w:tc>
          <w:tcPr>
            <w:tcW w:w="1446" w:type="dxa"/>
            <w:vMerge w:val="restart"/>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14:paraId="34484414" w14:textId="77777777" w:rsidR="00171E71" w:rsidRPr="00A46C5A" w:rsidRDefault="00171E71" w:rsidP="00493EAB">
            <w:pPr>
              <w:pStyle w:val="Standard"/>
              <w:keepNext/>
              <w:keepLines/>
              <w:spacing w:line="240" w:lineRule="auto"/>
              <w:jc w:val="center"/>
            </w:pPr>
            <w:r w:rsidRPr="00A46C5A">
              <w:rPr>
                <w:rFonts w:ascii="Times New Roman" w:hAnsi="Times New Roman"/>
              </w:rPr>
              <w:t>Waga cechy[%]</w:t>
            </w:r>
          </w:p>
        </w:tc>
        <w:tc>
          <w:tcPr>
            <w:tcW w:w="4084" w:type="dxa"/>
            <w:gridSpan w:val="2"/>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14:paraId="536872A7" w14:textId="77777777" w:rsidR="00171E71" w:rsidRPr="00A46C5A" w:rsidRDefault="00171E71" w:rsidP="00493EAB">
            <w:pPr>
              <w:pStyle w:val="Standard"/>
              <w:spacing w:after="200" w:line="240" w:lineRule="auto"/>
              <w:jc w:val="center"/>
            </w:pPr>
            <w:r w:rsidRPr="00A46C5A">
              <w:rPr>
                <w:rFonts w:ascii="Times New Roman" w:hAnsi="Times New Roman"/>
              </w:rPr>
              <w:t>Zakres współczynników korygujących</w:t>
            </w:r>
          </w:p>
          <w:p w14:paraId="69036421" w14:textId="77777777" w:rsidR="00171E71" w:rsidRPr="00A46C5A" w:rsidRDefault="00171E71" w:rsidP="00493EAB">
            <w:pPr>
              <w:pStyle w:val="Standard"/>
              <w:spacing w:after="200" w:line="240" w:lineRule="auto"/>
              <w:jc w:val="center"/>
            </w:pPr>
            <w:r w:rsidRPr="00A46C5A">
              <w:rPr>
                <w:rFonts w:ascii="Times New Roman" w:hAnsi="Times New Roman"/>
              </w:rPr>
              <w:t>[u</w:t>
            </w:r>
            <w:r w:rsidRPr="00A46C5A">
              <w:rPr>
                <w:rFonts w:ascii="Times New Roman" w:hAnsi="Times New Roman"/>
                <w:vertAlign w:val="subscript"/>
              </w:rPr>
              <w:t>i</w:t>
            </w:r>
            <w:r w:rsidRPr="00A46C5A">
              <w:rPr>
                <w:rFonts w:ascii="Times New Roman" w:hAnsi="Times New Roman"/>
              </w:rPr>
              <w:t>]</w:t>
            </w:r>
          </w:p>
        </w:tc>
      </w:tr>
      <w:tr w:rsidR="00171E71" w14:paraId="55246BC5" w14:textId="77777777" w:rsidTr="00896E41">
        <w:trPr>
          <w:cantSplit/>
          <w:trHeight w:val="611"/>
          <w:tblHeader/>
        </w:trPr>
        <w:tc>
          <w:tcPr>
            <w:tcW w:w="595" w:type="dxa"/>
            <w:vMerge/>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14:paraId="2A7B7D8D" w14:textId="77777777" w:rsidR="00171E71" w:rsidRPr="00A46C5A" w:rsidRDefault="00171E71" w:rsidP="00493EAB">
            <w:pPr>
              <w:spacing w:line="240" w:lineRule="auto"/>
            </w:pPr>
          </w:p>
        </w:tc>
        <w:tc>
          <w:tcPr>
            <w:tcW w:w="3373" w:type="dxa"/>
            <w:vMerge/>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14:paraId="5E8C657C" w14:textId="77777777" w:rsidR="00171E71" w:rsidRPr="00A46C5A" w:rsidRDefault="00171E71" w:rsidP="00493EAB">
            <w:pPr>
              <w:spacing w:line="240" w:lineRule="auto"/>
            </w:pPr>
          </w:p>
        </w:tc>
        <w:tc>
          <w:tcPr>
            <w:tcW w:w="1446" w:type="dxa"/>
            <w:vMerge/>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14:paraId="4B1E2907" w14:textId="77777777" w:rsidR="00171E71" w:rsidRPr="00A46C5A" w:rsidRDefault="00171E71" w:rsidP="00493EAB">
            <w:pPr>
              <w:spacing w:line="240" w:lineRule="auto"/>
            </w:pPr>
          </w:p>
        </w:tc>
        <w:tc>
          <w:tcPr>
            <w:tcW w:w="2091"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14:paraId="5F18C95B" w14:textId="77777777" w:rsidR="00171E71" w:rsidRPr="00A46C5A" w:rsidRDefault="00171E71" w:rsidP="00493EAB">
            <w:pPr>
              <w:pStyle w:val="Standard"/>
              <w:spacing w:after="200" w:line="240" w:lineRule="auto"/>
              <w:jc w:val="center"/>
            </w:pPr>
            <w:r w:rsidRPr="00A46C5A">
              <w:rPr>
                <w:rFonts w:ascii="Times New Roman" w:hAnsi="Times New Roman"/>
              </w:rPr>
              <w:t>granica dolna</w:t>
            </w:r>
          </w:p>
        </w:tc>
        <w:tc>
          <w:tcPr>
            <w:tcW w:w="199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14:paraId="54F1A3C4" w14:textId="77777777" w:rsidR="00171E71" w:rsidRPr="00A46C5A" w:rsidRDefault="00171E71" w:rsidP="00493EAB">
            <w:pPr>
              <w:pStyle w:val="Standard"/>
              <w:spacing w:after="200" w:line="240" w:lineRule="auto"/>
              <w:jc w:val="center"/>
            </w:pPr>
            <w:r w:rsidRPr="00A46C5A">
              <w:rPr>
                <w:rFonts w:ascii="Times New Roman" w:hAnsi="Times New Roman"/>
              </w:rPr>
              <w:t>granica górna</w:t>
            </w:r>
          </w:p>
        </w:tc>
      </w:tr>
      <w:tr w:rsidR="00171E71" w14:paraId="29832084" w14:textId="77777777" w:rsidTr="00896E41">
        <w:trPr>
          <w:cantSplit/>
          <w:trHeight w:val="506"/>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74F09" w14:textId="77777777" w:rsidR="00171E71" w:rsidRPr="00A46C5A" w:rsidRDefault="00171E71" w:rsidP="00493EAB">
            <w:pPr>
              <w:pStyle w:val="Standard"/>
              <w:keepNext/>
              <w:spacing w:line="240" w:lineRule="auto"/>
              <w:jc w:val="center"/>
            </w:pPr>
            <w:r w:rsidRPr="00A46C5A">
              <w:rPr>
                <w:rFonts w:ascii="Times New Roman" w:hAnsi="Times New Roman"/>
              </w:rPr>
              <w:t>1.</w:t>
            </w:r>
          </w:p>
        </w:tc>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010BE" w14:textId="77777777" w:rsidR="00171E71" w:rsidRPr="00A46C5A" w:rsidRDefault="00171E71" w:rsidP="00493EAB">
            <w:pPr>
              <w:pStyle w:val="Standard"/>
              <w:spacing w:line="240" w:lineRule="auto"/>
            </w:pPr>
            <w:r w:rsidRPr="00A46C5A">
              <w:rPr>
                <w:rFonts w:ascii="Times New Roman" w:hAnsi="Times New Roman"/>
              </w:rPr>
              <w:t>Lokalizacja szczegółowa</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7F2843" w14:textId="77777777" w:rsidR="00171E71" w:rsidRPr="00A46C5A" w:rsidRDefault="00171E71" w:rsidP="00493EAB">
            <w:pPr>
              <w:pStyle w:val="Standard"/>
              <w:spacing w:line="240" w:lineRule="auto"/>
              <w:jc w:val="center"/>
            </w:pPr>
            <w:r w:rsidRPr="00A46C5A">
              <w:rPr>
                <w:rFonts w:ascii="Times New Roman" w:hAnsi="Times New Roman"/>
              </w:rPr>
              <w:t>35</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3840A5" w14:textId="77777777" w:rsidR="00171E71" w:rsidRPr="00A46C5A" w:rsidRDefault="00171E71" w:rsidP="00493EAB">
            <w:pPr>
              <w:pStyle w:val="Standard"/>
              <w:spacing w:line="240" w:lineRule="auto"/>
              <w:ind w:left="318" w:hanging="318"/>
              <w:jc w:val="center"/>
            </w:pPr>
            <w:r w:rsidRPr="00A46C5A">
              <w:rPr>
                <w:rFonts w:ascii="Times New Roman" w:hAnsi="Times New Roman"/>
              </w:rPr>
              <w:t>0,217</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4DD85" w14:textId="77777777" w:rsidR="00171E71" w:rsidRPr="00A46C5A" w:rsidRDefault="00171E71" w:rsidP="00493EAB">
            <w:pPr>
              <w:pStyle w:val="Standard"/>
              <w:spacing w:after="200" w:line="240" w:lineRule="auto"/>
              <w:jc w:val="center"/>
            </w:pPr>
            <w:r w:rsidRPr="00A46C5A">
              <w:rPr>
                <w:rFonts w:ascii="Times New Roman" w:hAnsi="Times New Roman"/>
              </w:rPr>
              <w:t>0,582</w:t>
            </w:r>
          </w:p>
        </w:tc>
      </w:tr>
      <w:tr w:rsidR="00171E71" w14:paraId="10F614D2" w14:textId="77777777" w:rsidTr="00896E41">
        <w:trPr>
          <w:cantSplit/>
          <w:trHeight w:val="427"/>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342B1" w14:textId="77777777" w:rsidR="00171E71" w:rsidRPr="00A46C5A" w:rsidRDefault="00171E71" w:rsidP="00493EAB">
            <w:pPr>
              <w:pStyle w:val="Standard"/>
              <w:spacing w:line="240" w:lineRule="auto"/>
              <w:jc w:val="center"/>
            </w:pPr>
            <w:r w:rsidRPr="00A46C5A">
              <w:rPr>
                <w:rFonts w:ascii="Times New Roman" w:hAnsi="Times New Roman"/>
              </w:rPr>
              <w:t>2.</w:t>
            </w:r>
          </w:p>
        </w:tc>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A258DE" w14:textId="77777777" w:rsidR="00171E71" w:rsidRPr="00A46C5A" w:rsidRDefault="00171E71" w:rsidP="00493EAB">
            <w:pPr>
              <w:pStyle w:val="Standard"/>
              <w:spacing w:line="240" w:lineRule="auto"/>
            </w:pPr>
            <w:r w:rsidRPr="00A46C5A">
              <w:rPr>
                <w:rFonts w:ascii="Times New Roman" w:hAnsi="Times New Roman"/>
              </w:rPr>
              <w:t>Uzbrojenie w mediach</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380AF3" w14:textId="77777777" w:rsidR="00171E71" w:rsidRPr="00A46C5A" w:rsidRDefault="00171E71" w:rsidP="00493EAB">
            <w:pPr>
              <w:pStyle w:val="Standard"/>
              <w:spacing w:line="240" w:lineRule="auto"/>
              <w:jc w:val="center"/>
            </w:pPr>
            <w:r w:rsidRPr="00A46C5A">
              <w:rPr>
                <w:rFonts w:ascii="Times New Roman" w:hAnsi="Times New Roman"/>
              </w:rPr>
              <w:t>20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08DF00" w14:textId="77777777" w:rsidR="00171E71" w:rsidRPr="00A46C5A" w:rsidRDefault="00171E71" w:rsidP="00493EAB">
            <w:pPr>
              <w:pStyle w:val="Standard"/>
              <w:spacing w:line="240" w:lineRule="auto"/>
              <w:ind w:left="317" w:hanging="317"/>
              <w:jc w:val="center"/>
            </w:pPr>
            <w:r w:rsidRPr="00A46C5A">
              <w:rPr>
                <w:rFonts w:ascii="Times New Roman" w:hAnsi="Times New Roman"/>
              </w:rPr>
              <w:t>0,124</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FCADB" w14:textId="77777777" w:rsidR="00171E71" w:rsidRPr="00A46C5A" w:rsidRDefault="00171E71" w:rsidP="00493EAB">
            <w:pPr>
              <w:pStyle w:val="Standard"/>
              <w:spacing w:after="200" w:line="240" w:lineRule="auto"/>
              <w:jc w:val="center"/>
            </w:pPr>
            <w:r w:rsidRPr="00A46C5A">
              <w:rPr>
                <w:rFonts w:ascii="Times New Roman" w:hAnsi="Times New Roman"/>
              </w:rPr>
              <w:t>0,332</w:t>
            </w:r>
          </w:p>
        </w:tc>
      </w:tr>
      <w:tr w:rsidR="00171E71" w14:paraId="040AD057" w14:textId="77777777" w:rsidTr="00896E41">
        <w:trPr>
          <w:cantSplit/>
          <w:trHeight w:val="357"/>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8966EC" w14:textId="77777777" w:rsidR="00171E71" w:rsidRPr="00A46C5A" w:rsidRDefault="00171E71" w:rsidP="00493EAB">
            <w:pPr>
              <w:pStyle w:val="Standard"/>
              <w:keepNext/>
              <w:spacing w:line="240" w:lineRule="auto"/>
              <w:jc w:val="center"/>
            </w:pPr>
            <w:r w:rsidRPr="00A46C5A">
              <w:rPr>
                <w:rFonts w:ascii="Times New Roman" w:hAnsi="Times New Roman"/>
              </w:rPr>
              <w:t>3.</w:t>
            </w:r>
          </w:p>
        </w:tc>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E5322" w14:textId="77777777" w:rsidR="00171E71" w:rsidRPr="00A46C5A" w:rsidRDefault="00171E71" w:rsidP="00493EAB">
            <w:pPr>
              <w:pStyle w:val="Standard"/>
              <w:spacing w:line="240" w:lineRule="auto"/>
            </w:pPr>
            <w:r w:rsidRPr="00A46C5A">
              <w:rPr>
                <w:rFonts w:ascii="Times New Roman" w:hAnsi="Times New Roman"/>
              </w:rPr>
              <w:t>Powierzchnia działki</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0832AA" w14:textId="77777777" w:rsidR="00171E71" w:rsidRPr="00A46C5A" w:rsidRDefault="00171E71" w:rsidP="00493EAB">
            <w:pPr>
              <w:pStyle w:val="Standard"/>
              <w:spacing w:line="240" w:lineRule="auto"/>
              <w:jc w:val="center"/>
            </w:pPr>
            <w:r w:rsidRPr="00A46C5A">
              <w:rPr>
                <w:rFonts w:ascii="Times New Roman" w:hAnsi="Times New Roman"/>
              </w:rPr>
              <w:t>15</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8C9293" w14:textId="77777777" w:rsidR="00171E71" w:rsidRPr="00A46C5A" w:rsidRDefault="00171E71" w:rsidP="00493EAB">
            <w:pPr>
              <w:pStyle w:val="Standard"/>
              <w:spacing w:line="240" w:lineRule="auto"/>
              <w:ind w:left="318" w:hanging="318"/>
              <w:jc w:val="center"/>
            </w:pPr>
            <w:r w:rsidRPr="00A46C5A">
              <w:rPr>
                <w:rFonts w:ascii="Times New Roman" w:hAnsi="Times New Roman"/>
              </w:rPr>
              <w:t>0,093</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0041E" w14:textId="77777777" w:rsidR="00171E71" w:rsidRPr="00A46C5A" w:rsidRDefault="00171E71" w:rsidP="00493EAB">
            <w:pPr>
              <w:pStyle w:val="Standard"/>
              <w:spacing w:after="200" w:line="240" w:lineRule="auto"/>
              <w:jc w:val="center"/>
            </w:pPr>
            <w:r w:rsidRPr="00A46C5A">
              <w:rPr>
                <w:rFonts w:ascii="Times New Roman" w:hAnsi="Times New Roman"/>
              </w:rPr>
              <w:t>0,249</w:t>
            </w:r>
          </w:p>
        </w:tc>
      </w:tr>
      <w:tr w:rsidR="00171E71" w14:paraId="654F9E1D" w14:textId="77777777" w:rsidTr="00896E41">
        <w:trPr>
          <w:cantSplit/>
          <w:trHeight w:val="293"/>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E73A20" w14:textId="77777777" w:rsidR="00171E71" w:rsidRPr="00A46C5A" w:rsidRDefault="00171E71" w:rsidP="00493EAB">
            <w:pPr>
              <w:pStyle w:val="Standard"/>
              <w:spacing w:line="240" w:lineRule="auto"/>
              <w:jc w:val="center"/>
            </w:pPr>
            <w:r w:rsidRPr="00A46C5A">
              <w:rPr>
                <w:rFonts w:ascii="Times New Roman" w:hAnsi="Times New Roman"/>
              </w:rPr>
              <w:t>4.</w:t>
            </w:r>
          </w:p>
        </w:tc>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ADB106" w14:textId="77777777" w:rsidR="00171E71" w:rsidRPr="00A46C5A" w:rsidRDefault="00171E71" w:rsidP="00493EAB">
            <w:pPr>
              <w:pStyle w:val="Standard"/>
              <w:spacing w:line="240" w:lineRule="auto"/>
            </w:pPr>
            <w:r w:rsidRPr="00A46C5A">
              <w:rPr>
                <w:rFonts w:ascii="Times New Roman" w:hAnsi="Times New Roman"/>
              </w:rPr>
              <w:t>Jakość dojazdu</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6CED07" w14:textId="77777777" w:rsidR="00171E71" w:rsidRPr="00A46C5A" w:rsidRDefault="00171E71" w:rsidP="00493EAB">
            <w:pPr>
              <w:pStyle w:val="Standard"/>
              <w:spacing w:line="240" w:lineRule="auto"/>
              <w:jc w:val="center"/>
            </w:pPr>
            <w:r w:rsidRPr="00A46C5A">
              <w:rPr>
                <w:rFonts w:ascii="Times New Roman" w:hAnsi="Times New Roman"/>
              </w:rPr>
              <w:t>10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DE1B6" w14:textId="77777777" w:rsidR="00171E71" w:rsidRPr="00A46C5A" w:rsidRDefault="00171E71" w:rsidP="00493EAB">
            <w:pPr>
              <w:pStyle w:val="Standard"/>
              <w:spacing w:line="240" w:lineRule="auto"/>
              <w:ind w:left="318" w:hanging="318"/>
              <w:jc w:val="center"/>
            </w:pPr>
            <w:r w:rsidRPr="00A46C5A">
              <w:rPr>
                <w:rFonts w:ascii="Times New Roman" w:hAnsi="Times New Roman"/>
              </w:rPr>
              <w:t>0,062</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8D77D" w14:textId="77777777" w:rsidR="00171E71" w:rsidRPr="00A46C5A" w:rsidRDefault="00171E71" w:rsidP="00493EAB">
            <w:pPr>
              <w:pStyle w:val="Standard"/>
              <w:spacing w:after="200" w:line="240" w:lineRule="auto"/>
              <w:jc w:val="center"/>
            </w:pPr>
            <w:r w:rsidRPr="00A46C5A">
              <w:rPr>
                <w:rFonts w:ascii="Times New Roman" w:hAnsi="Times New Roman"/>
              </w:rPr>
              <w:t>0,166</w:t>
            </w:r>
          </w:p>
        </w:tc>
      </w:tr>
      <w:tr w:rsidR="00171E71" w14:paraId="0771991F" w14:textId="77777777" w:rsidTr="00896E41">
        <w:trPr>
          <w:cantSplit/>
          <w:trHeight w:val="427"/>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71B838" w14:textId="77777777" w:rsidR="00171E71" w:rsidRPr="00A46C5A" w:rsidRDefault="00171E71" w:rsidP="00493EAB">
            <w:pPr>
              <w:pStyle w:val="Standard"/>
              <w:spacing w:line="240" w:lineRule="auto"/>
              <w:jc w:val="center"/>
            </w:pPr>
            <w:r w:rsidRPr="00A46C5A">
              <w:rPr>
                <w:rFonts w:ascii="Times New Roman" w:hAnsi="Times New Roman"/>
              </w:rPr>
              <w:t>5.</w:t>
            </w:r>
          </w:p>
        </w:tc>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51596" w14:textId="77777777" w:rsidR="00171E71" w:rsidRPr="00A46C5A" w:rsidRDefault="00171E71" w:rsidP="00493EAB">
            <w:pPr>
              <w:pStyle w:val="Standard"/>
              <w:spacing w:line="240" w:lineRule="auto"/>
            </w:pPr>
            <w:r w:rsidRPr="00A46C5A">
              <w:rPr>
                <w:rFonts w:ascii="Times New Roman" w:hAnsi="Times New Roman"/>
              </w:rPr>
              <w:t>Utrudnienia inwestycyjne</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09DBC8" w14:textId="77777777" w:rsidR="00171E71" w:rsidRPr="00A46C5A" w:rsidRDefault="00171E71" w:rsidP="00493EAB">
            <w:pPr>
              <w:pStyle w:val="Standard"/>
              <w:spacing w:line="240" w:lineRule="auto"/>
              <w:jc w:val="center"/>
            </w:pPr>
            <w:r w:rsidRPr="00A46C5A">
              <w:rPr>
                <w:rFonts w:ascii="Times New Roman" w:hAnsi="Times New Roman"/>
              </w:rPr>
              <w:t>20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15BA7" w14:textId="77777777" w:rsidR="00171E71" w:rsidRPr="00A46C5A" w:rsidRDefault="00171E71" w:rsidP="00493EAB">
            <w:pPr>
              <w:pStyle w:val="Standard"/>
              <w:spacing w:line="240" w:lineRule="auto"/>
              <w:ind w:left="318" w:hanging="318"/>
              <w:jc w:val="center"/>
            </w:pPr>
            <w:r w:rsidRPr="00A46C5A">
              <w:rPr>
                <w:rFonts w:ascii="Times New Roman" w:hAnsi="Times New Roman"/>
              </w:rPr>
              <w:t>0,123</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5E0E5" w14:textId="77777777" w:rsidR="00171E71" w:rsidRPr="00A46C5A" w:rsidRDefault="00171E71" w:rsidP="00493EAB">
            <w:pPr>
              <w:pStyle w:val="Standard"/>
              <w:spacing w:after="200" w:line="240" w:lineRule="auto"/>
              <w:jc w:val="center"/>
            </w:pPr>
            <w:r w:rsidRPr="00A46C5A">
              <w:rPr>
                <w:rFonts w:ascii="Times New Roman" w:hAnsi="Times New Roman"/>
              </w:rPr>
              <w:t>0,333</w:t>
            </w:r>
          </w:p>
        </w:tc>
      </w:tr>
      <w:tr w:rsidR="00171E71" w14:paraId="25453911" w14:textId="77777777" w:rsidTr="00896E41">
        <w:trPr>
          <w:cantSplit/>
          <w:trHeight w:val="64"/>
        </w:trPr>
        <w:tc>
          <w:tcPr>
            <w:tcW w:w="5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C0BEB44" w14:textId="77777777" w:rsidR="00171E71" w:rsidRPr="00A46C5A" w:rsidRDefault="00171E71" w:rsidP="00493EAB">
            <w:pPr>
              <w:pStyle w:val="Standard"/>
              <w:spacing w:line="240" w:lineRule="auto"/>
              <w:jc w:val="center"/>
              <w:rPr>
                <w:rFonts w:ascii="Times New Roman" w:hAnsi="Times New Roman"/>
              </w:rPr>
            </w:pPr>
          </w:p>
        </w:tc>
        <w:tc>
          <w:tcPr>
            <w:tcW w:w="337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4D6199" w14:textId="77777777" w:rsidR="00171E71" w:rsidRPr="00A46C5A" w:rsidRDefault="00171E71" w:rsidP="00493EAB">
            <w:pPr>
              <w:spacing w:line="240" w:lineRule="auto"/>
            </w:pPr>
            <w:r w:rsidRPr="00A46C5A">
              <w:t>Suma</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A618E1" w14:textId="77777777" w:rsidR="00171E71" w:rsidRPr="00A46C5A" w:rsidRDefault="00171E71" w:rsidP="00493EAB">
            <w:pPr>
              <w:pStyle w:val="Standard"/>
              <w:spacing w:line="240" w:lineRule="auto"/>
              <w:jc w:val="center"/>
            </w:pPr>
            <w:r w:rsidRPr="00A46C5A">
              <w:rPr>
                <w:rFonts w:ascii="Times New Roman" w:hAnsi="Times New Roman"/>
              </w:rPr>
              <w:t>100 %</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153199" w14:textId="77777777" w:rsidR="00171E71" w:rsidRPr="00A46C5A" w:rsidRDefault="00171E71" w:rsidP="00493EAB">
            <w:pPr>
              <w:pStyle w:val="Akapitzlist"/>
              <w:tabs>
                <w:tab w:val="left" w:pos="983"/>
              </w:tabs>
              <w:ind w:left="666" w:hanging="567"/>
              <w:jc w:val="center"/>
              <w:rPr>
                <w:sz w:val="22"/>
                <w:szCs w:val="22"/>
              </w:rPr>
            </w:pPr>
            <w:r w:rsidRPr="00A46C5A">
              <w:rPr>
                <w:rFonts w:ascii="Times New Roman" w:hAnsi="Times New Roman"/>
                <w:sz w:val="22"/>
                <w:szCs w:val="22"/>
              </w:rPr>
              <w:t>0,619</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CADD2" w14:textId="77777777" w:rsidR="00171E71" w:rsidRPr="00A46C5A" w:rsidRDefault="00171E71" w:rsidP="00493EAB">
            <w:pPr>
              <w:pStyle w:val="Standard"/>
              <w:spacing w:after="200" w:line="240" w:lineRule="auto"/>
              <w:jc w:val="center"/>
            </w:pPr>
            <w:r w:rsidRPr="00A46C5A">
              <w:rPr>
                <w:rFonts w:ascii="Times New Roman" w:hAnsi="Times New Roman"/>
              </w:rPr>
              <w:t>1,662</w:t>
            </w:r>
          </w:p>
        </w:tc>
      </w:tr>
    </w:tbl>
    <w:p w14:paraId="6BAB0A9A" w14:textId="77777777" w:rsidR="00171E71" w:rsidRDefault="00171E71" w:rsidP="00493EAB">
      <w:pPr>
        <w:pStyle w:val="Standard"/>
        <w:spacing w:after="0" w:line="240" w:lineRule="auto"/>
        <w:jc w:val="both"/>
        <w:rPr>
          <w:rFonts w:ascii="Times New Roman" w:eastAsia="Times New Roman" w:hAnsi="Times New Roman"/>
          <w:color w:val="538135"/>
          <w:sz w:val="24"/>
          <w:szCs w:val="24"/>
        </w:rPr>
      </w:pPr>
    </w:p>
    <w:p w14:paraId="1BC2B673" w14:textId="77777777" w:rsidR="00493EAB" w:rsidRDefault="00493EAB" w:rsidP="00493EAB">
      <w:pPr>
        <w:pStyle w:val="Standard"/>
        <w:spacing w:line="240" w:lineRule="auto"/>
        <w:jc w:val="both"/>
        <w:rPr>
          <w:rFonts w:ascii="Times New Roman" w:hAnsi="Times New Roman"/>
          <w:sz w:val="24"/>
          <w:szCs w:val="24"/>
        </w:rPr>
      </w:pPr>
    </w:p>
    <w:p w14:paraId="17DE2109" w14:textId="77777777" w:rsidR="00493EAB" w:rsidRDefault="00493EAB" w:rsidP="00493EAB">
      <w:pPr>
        <w:pStyle w:val="Standard"/>
        <w:spacing w:line="240" w:lineRule="auto"/>
        <w:jc w:val="both"/>
        <w:rPr>
          <w:rFonts w:ascii="Times New Roman" w:hAnsi="Times New Roman"/>
          <w:sz w:val="24"/>
          <w:szCs w:val="24"/>
        </w:rPr>
      </w:pPr>
    </w:p>
    <w:p w14:paraId="3FA62625" w14:textId="77777777" w:rsidR="00171E71" w:rsidRDefault="00171E71" w:rsidP="00493EAB">
      <w:pPr>
        <w:pStyle w:val="Standard"/>
        <w:spacing w:line="240" w:lineRule="auto"/>
        <w:jc w:val="both"/>
      </w:pPr>
      <w:r>
        <w:rPr>
          <w:rFonts w:ascii="Times New Roman" w:hAnsi="Times New Roman"/>
          <w:sz w:val="24"/>
          <w:szCs w:val="24"/>
        </w:rPr>
        <w:lastRenderedPageBreak/>
        <w:t>Tabela nr 3. Określenie wartości współczynnika korygującego.</w:t>
      </w:r>
    </w:p>
    <w:tbl>
      <w:tblPr>
        <w:tblW w:w="9634" w:type="dxa"/>
        <w:tblLayout w:type="fixed"/>
        <w:tblCellMar>
          <w:left w:w="10" w:type="dxa"/>
          <w:right w:w="10" w:type="dxa"/>
        </w:tblCellMar>
        <w:tblLook w:val="04A0" w:firstRow="1" w:lastRow="0" w:firstColumn="1" w:lastColumn="0" w:noHBand="0" w:noVBand="1"/>
      </w:tblPr>
      <w:tblGrid>
        <w:gridCol w:w="668"/>
        <w:gridCol w:w="2080"/>
        <w:gridCol w:w="1831"/>
        <w:gridCol w:w="1512"/>
        <w:gridCol w:w="1414"/>
        <w:gridCol w:w="2129"/>
      </w:tblGrid>
      <w:tr w:rsidR="00171E71" w14:paraId="016B9C34" w14:textId="77777777" w:rsidTr="00896E41">
        <w:trPr>
          <w:trHeight w:val="1008"/>
        </w:trPr>
        <w:tc>
          <w:tcPr>
            <w:tcW w:w="668" w:type="dxa"/>
            <w:vMerge w:val="restart"/>
            <w:tcBorders>
              <w:top w:val="single" w:sz="4" w:space="0" w:color="000000"/>
              <w:left w:val="single" w:sz="4" w:space="0" w:color="000000"/>
              <w:right w:val="single" w:sz="4" w:space="0" w:color="000000"/>
            </w:tcBorders>
            <w:shd w:val="clear" w:color="auto" w:fill="DEEAF6"/>
            <w:tcMar>
              <w:top w:w="0" w:type="dxa"/>
              <w:left w:w="108" w:type="dxa"/>
              <w:bottom w:w="0" w:type="dxa"/>
              <w:right w:w="108" w:type="dxa"/>
            </w:tcMar>
          </w:tcPr>
          <w:p w14:paraId="6412250B" w14:textId="77777777" w:rsidR="00171E71" w:rsidRPr="00A46C5A" w:rsidRDefault="00171E71" w:rsidP="00493EAB">
            <w:pPr>
              <w:pStyle w:val="Standard"/>
              <w:spacing w:after="0" w:line="240" w:lineRule="auto"/>
              <w:jc w:val="center"/>
              <w:rPr>
                <w:rFonts w:ascii="Times New Roman" w:hAnsi="Times New Roman"/>
              </w:rPr>
            </w:pPr>
          </w:p>
          <w:p w14:paraId="2723FB67" w14:textId="77777777" w:rsidR="00171E71" w:rsidRPr="00A46C5A" w:rsidRDefault="00171E71" w:rsidP="00493EAB">
            <w:pPr>
              <w:pStyle w:val="Standard"/>
              <w:spacing w:after="0" w:line="240" w:lineRule="auto"/>
              <w:jc w:val="center"/>
            </w:pPr>
            <w:r w:rsidRPr="00A46C5A">
              <w:rPr>
                <w:rFonts w:ascii="Times New Roman" w:hAnsi="Times New Roman"/>
              </w:rPr>
              <w:t>Lp.</w:t>
            </w:r>
          </w:p>
        </w:tc>
        <w:tc>
          <w:tcPr>
            <w:tcW w:w="2080" w:type="dxa"/>
            <w:vMerge w:val="restart"/>
            <w:tcBorders>
              <w:top w:val="single" w:sz="4" w:space="0" w:color="000000"/>
              <w:left w:val="single" w:sz="4" w:space="0" w:color="000000"/>
              <w:right w:val="single" w:sz="4" w:space="0" w:color="000000"/>
            </w:tcBorders>
            <w:shd w:val="clear" w:color="auto" w:fill="DEEAF6"/>
            <w:tcMar>
              <w:top w:w="0" w:type="dxa"/>
              <w:left w:w="108" w:type="dxa"/>
              <w:bottom w:w="0" w:type="dxa"/>
              <w:right w:w="108" w:type="dxa"/>
            </w:tcMar>
          </w:tcPr>
          <w:p w14:paraId="2A70612E" w14:textId="77777777" w:rsidR="00171E71" w:rsidRPr="00A46C5A" w:rsidRDefault="00171E71" w:rsidP="00493EAB">
            <w:pPr>
              <w:pStyle w:val="Standard"/>
              <w:spacing w:after="0" w:line="240" w:lineRule="auto"/>
              <w:rPr>
                <w:rFonts w:ascii="Times New Roman" w:hAnsi="Times New Roman"/>
                <w:b/>
              </w:rPr>
            </w:pPr>
          </w:p>
          <w:p w14:paraId="344CF57B" w14:textId="77777777" w:rsidR="00171E71" w:rsidRPr="00A46C5A" w:rsidRDefault="00171E71" w:rsidP="00493EAB">
            <w:pPr>
              <w:pStyle w:val="Standard"/>
              <w:spacing w:after="0" w:line="240" w:lineRule="auto"/>
              <w:jc w:val="center"/>
            </w:pPr>
            <w:r w:rsidRPr="00A46C5A">
              <w:rPr>
                <w:rFonts w:ascii="Times New Roman" w:hAnsi="Times New Roman"/>
                <w:bCs/>
              </w:rPr>
              <w:t>Cechy rynkowe</w:t>
            </w:r>
          </w:p>
        </w:tc>
        <w:tc>
          <w:tcPr>
            <w:tcW w:w="1831" w:type="dxa"/>
            <w:vMerge w:val="restart"/>
            <w:tcBorders>
              <w:top w:val="single" w:sz="4" w:space="0" w:color="000000"/>
              <w:left w:val="single" w:sz="4" w:space="0" w:color="000000"/>
              <w:right w:val="single" w:sz="4" w:space="0" w:color="000000"/>
            </w:tcBorders>
            <w:shd w:val="clear" w:color="auto" w:fill="DEEAF6"/>
            <w:tcMar>
              <w:top w:w="0" w:type="dxa"/>
              <w:left w:w="108" w:type="dxa"/>
              <w:bottom w:w="0" w:type="dxa"/>
              <w:right w:w="108" w:type="dxa"/>
            </w:tcMar>
          </w:tcPr>
          <w:p w14:paraId="07724C60" w14:textId="77777777" w:rsidR="00171E71" w:rsidRPr="00A46C5A" w:rsidRDefault="00171E71" w:rsidP="00493EAB">
            <w:pPr>
              <w:pStyle w:val="Standard"/>
              <w:spacing w:after="0" w:line="240" w:lineRule="auto"/>
              <w:jc w:val="center"/>
              <w:rPr>
                <w:rFonts w:ascii="Times New Roman" w:hAnsi="Times New Roman"/>
              </w:rPr>
            </w:pPr>
          </w:p>
          <w:p w14:paraId="46E8A670" w14:textId="77777777" w:rsidR="00171E71" w:rsidRPr="00A46C5A" w:rsidRDefault="00171E71" w:rsidP="00493EAB">
            <w:pPr>
              <w:pStyle w:val="Standard"/>
              <w:spacing w:after="0" w:line="240" w:lineRule="auto"/>
              <w:jc w:val="center"/>
            </w:pPr>
            <w:r w:rsidRPr="00A46C5A">
              <w:rPr>
                <w:rFonts w:ascii="Times New Roman" w:hAnsi="Times New Roman"/>
              </w:rPr>
              <w:t>Cechy rynkowe nieruchomości wycenianej</w:t>
            </w:r>
          </w:p>
        </w:tc>
        <w:tc>
          <w:tcPr>
            <w:tcW w:w="2926" w:type="dxa"/>
            <w:gridSpan w:val="2"/>
            <w:tcBorders>
              <w:top w:val="single" w:sz="4" w:space="0" w:color="000000"/>
              <w:left w:val="single" w:sz="4" w:space="0" w:color="000000"/>
              <w:bottom w:val="single" w:sz="4" w:space="0" w:color="auto"/>
              <w:right w:val="single" w:sz="4" w:space="0" w:color="000000"/>
            </w:tcBorders>
            <w:shd w:val="clear" w:color="auto" w:fill="DEEAF6"/>
            <w:tcMar>
              <w:top w:w="0" w:type="dxa"/>
              <w:left w:w="108" w:type="dxa"/>
              <w:bottom w:w="0" w:type="dxa"/>
              <w:right w:w="108" w:type="dxa"/>
            </w:tcMar>
          </w:tcPr>
          <w:p w14:paraId="6645ECEE" w14:textId="77777777" w:rsidR="00171E71" w:rsidRPr="00A46C5A" w:rsidRDefault="00171E71" w:rsidP="00493EAB">
            <w:pPr>
              <w:pStyle w:val="Standard"/>
              <w:spacing w:after="0" w:line="240" w:lineRule="auto"/>
              <w:jc w:val="center"/>
              <w:rPr>
                <w:rFonts w:ascii="Times New Roman" w:hAnsi="Times New Roman"/>
              </w:rPr>
            </w:pPr>
          </w:p>
          <w:p w14:paraId="239F42ED" w14:textId="77777777" w:rsidR="00171E71" w:rsidRPr="00A46C5A" w:rsidRDefault="00171E71" w:rsidP="00493EAB">
            <w:pPr>
              <w:pStyle w:val="Standard"/>
              <w:spacing w:after="0" w:line="240" w:lineRule="auto"/>
              <w:jc w:val="center"/>
            </w:pPr>
            <w:r w:rsidRPr="00A46C5A">
              <w:rPr>
                <w:rFonts w:ascii="Times New Roman" w:hAnsi="Times New Roman"/>
              </w:rPr>
              <w:t>Zakresy współczynników korygujących [u</w:t>
            </w:r>
            <w:r w:rsidRPr="00A46C5A">
              <w:rPr>
                <w:rFonts w:ascii="Times New Roman" w:hAnsi="Times New Roman"/>
                <w:vertAlign w:val="subscript"/>
              </w:rPr>
              <w:t>i</w:t>
            </w:r>
            <w:r w:rsidRPr="00A46C5A">
              <w:rPr>
                <w:rFonts w:ascii="Times New Roman" w:hAnsi="Times New Roman"/>
              </w:rPr>
              <w:t>]</w:t>
            </w:r>
          </w:p>
        </w:tc>
        <w:tc>
          <w:tcPr>
            <w:tcW w:w="2129" w:type="dxa"/>
            <w:vMerge w:val="restart"/>
            <w:tcBorders>
              <w:top w:val="single" w:sz="4" w:space="0" w:color="000000"/>
              <w:left w:val="single" w:sz="4" w:space="0" w:color="000000"/>
              <w:right w:val="single" w:sz="4" w:space="0" w:color="000000"/>
            </w:tcBorders>
            <w:shd w:val="clear" w:color="auto" w:fill="DEEAF6"/>
            <w:tcMar>
              <w:top w:w="0" w:type="dxa"/>
              <w:left w:w="108" w:type="dxa"/>
              <w:bottom w:w="0" w:type="dxa"/>
              <w:right w:w="108" w:type="dxa"/>
            </w:tcMar>
          </w:tcPr>
          <w:p w14:paraId="2FD7371F" w14:textId="77777777" w:rsidR="00171E71" w:rsidRPr="00A46C5A" w:rsidRDefault="00171E71" w:rsidP="00493EAB">
            <w:pPr>
              <w:pStyle w:val="Standard"/>
              <w:spacing w:after="0" w:line="240" w:lineRule="auto"/>
              <w:jc w:val="center"/>
              <w:rPr>
                <w:rFonts w:ascii="Times New Roman" w:hAnsi="Times New Roman"/>
              </w:rPr>
            </w:pPr>
          </w:p>
          <w:p w14:paraId="6E6A5C80" w14:textId="77777777" w:rsidR="00171E71" w:rsidRPr="00A46C5A" w:rsidRDefault="00171E71" w:rsidP="00493EAB">
            <w:pPr>
              <w:pStyle w:val="Standard"/>
              <w:spacing w:after="0" w:line="240" w:lineRule="auto"/>
              <w:jc w:val="center"/>
            </w:pPr>
            <w:r w:rsidRPr="00A46C5A">
              <w:rPr>
                <w:rFonts w:ascii="Times New Roman" w:hAnsi="Times New Roman"/>
              </w:rPr>
              <w:t>Wielkość współczynnika dla nieruchomości wycenianej [u</w:t>
            </w:r>
            <w:r w:rsidRPr="00A46C5A">
              <w:rPr>
                <w:rFonts w:ascii="Times New Roman" w:hAnsi="Times New Roman"/>
                <w:vertAlign w:val="subscript"/>
              </w:rPr>
              <w:t>i</w:t>
            </w:r>
            <w:r w:rsidRPr="00A46C5A">
              <w:rPr>
                <w:rFonts w:ascii="Times New Roman" w:hAnsi="Times New Roman"/>
              </w:rPr>
              <w:t>]</w:t>
            </w:r>
          </w:p>
        </w:tc>
      </w:tr>
      <w:tr w:rsidR="00171E71" w14:paraId="5766F1B3" w14:textId="77777777" w:rsidTr="00896E41">
        <w:trPr>
          <w:trHeight w:val="636"/>
        </w:trPr>
        <w:tc>
          <w:tcPr>
            <w:tcW w:w="668" w:type="dxa"/>
            <w:vMerge/>
            <w:tcBorders>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18543A8E" w14:textId="77777777" w:rsidR="00171E71" w:rsidRPr="00A46C5A" w:rsidRDefault="00171E71" w:rsidP="00493EAB">
            <w:pPr>
              <w:pStyle w:val="Standard"/>
              <w:spacing w:after="0" w:line="240" w:lineRule="auto"/>
              <w:jc w:val="center"/>
              <w:rPr>
                <w:rFonts w:ascii="Times New Roman" w:hAnsi="Times New Roman"/>
              </w:rPr>
            </w:pPr>
          </w:p>
        </w:tc>
        <w:tc>
          <w:tcPr>
            <w:tcW w:w="2080" w:type="dxa"/>
            <w:vMerge/>
            <w:tcBorders>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72570DE2" w14:textId="77777777" w:rsidR="00171E71" w:rsidRPr="00A46C5A" w:rsidRDefault="00171E71" w:rsidP="00493EAB">
            <w:pPr>
              <w:pStyle w:val="Standard"/>
              <w:spacing w:after="0" w:line="240" w:lineRule="auto"/>
              <w:rPr>
                <w:rFonts w:ascii="Times New Roman" w:hAnsi="Times New Roman"/>
                <w:b/>
              </w:rPr>
            </w:pPr>
          </w:p>
        </w:tc>
        <w:tc>
          <w:tcPr>
            <w:tcW w:w="1831" w:type="dxa"/>
            <w:vMerge/>
            <w:tcBorders>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10BC9A91" w14:textId="77777777" w:rsidR="00171E71" w:rsidRPr="00A46C5A" w:rsidRDefault="00171E71" w:rsidP="00493EAB">
            <w:pPr>
              <w:pStyle w:val="Standard"/>
              <w:spacing w:after="0" w:line="240" w:lineRule="auto"/>
              <w:jc w:val="center"/>
              <w:rPr>
                <w:rFonts w:ascii="Times New Roman" w:hAnsi="Times New Roman"/>
              </w:rPr>
            </w:pPr>
          </w:p>
        </w:tc>
        <w:tc>
          <w:tcPr>
            <w:tcW w:w="1512" w:type="dxa"/>
            <w:tcBorders>
              <w:top w:val="single" w:sz="4" w:space="0" w:color="auto"/>
              <w:left w:val="single" w:sz="4" w:space="0" w:color="000000"/>
              <w:bottom w:val="single" w:sz="4" w:space="0" w:color="000000"/>
              <w:right w:val="single" w:sz="4" w:space="0" w:color="auto"/>
            </w:tcBorders>
            <w:shd w:val="clear" w:color="auto" w:fill="DEEAF6"/>
            <w:tcMar>
              <w:top w:w="0" w:type="dxa"/>
              <w:left w:w="108" w:type="dxa"/>
              <w:bottom w:w="0" w:type="dxa"/>
              <w:right w:w="108" w:type="dxa"/>
            </w:tcMar>
          </w:tcPr>
          <w:p w14:paraId="2E82677F" w14:textId="77777777" w:rsidR="00171E71" w:rsidRPr="00A46C5A" w:rsidRDefault="00171E71" w:rsidP="00493EAB">
            <w:pPr>
              <w:pStyle w:val="Standard"/>
              <w:spacing w:after="0" w:line="240" w:lineRule="auto"/>
              <w:jc w:val="center"/>
              <w:rPr>
                <w:rFonts w:ascii="Times New Roman" w:hAnsi="Times New Roman"/>
              </w:rPr>
            </w:pPr>
            <w:r w:rsidRPr="00A46C5A">
              <w:rPr>
                <w:rFonts w:ascii="Times New Roman" w:hAnsi="Times New Roman"/>
              </w:rPr>
              <w:t>Granica dolna</w:t>
            </w:r>
          </w:p>
        </w:tc>
        <w:tc>
          <w:tcPr>
            <w:tcW w:w="1414" w:type="dxa"/>
            <w:tcBorders>
              <w:top w:val="single" w:sz="4" w:space="0" w:color="auto"/>
              <w:left w:val="single" w:sz="4" w:space="0" w:color="000000"/>
              <w:bottom w:val="single" w:sz="4" w:space="0" w:color="000000"/>
              <w:right w:val="single" w:sz="4" w:space="0" w:color="auto"/>
            </w:tcBorders>
            <w:shd w:val="clear" w:color="auto" w:fill="DEEAF6"/>
          </w:tcPr>
          <w:p w14:paraId="5BC93D2A" w14:textId="77777777" w:rsidR="00171E71" w:rsidRPr="00A46C5A" w:rsidRDefault="00171E71" w:rsidP="00493EAB">
            <w:pPr>
              <w:pStyle w:val="Standard"/>
              <w:spacing w:after="0" w:line="240" w:lineRule="auto"/>
              <w:jc w:val="center"/>
              <w:rPr>
                <w:rFonts w:ascii="Times New Roman" w:hAnsi="Times New Roman"/>
              </w:rPr>
            </w:pPr>
            <w:r w:rsidRPr="00A46C5A">
              <w:rPr>
                <w:rFonts w:ascii="Times New Roman" w:hAnsi="Times New Roman"/>
              </w:rPr>
              <w:t xml:space="preserve">Granica </w:t>
            </w:r>
          </w:p>
          <w:p w14:paraId="523C5FC7" w14:textId="77777777" w:rsidR="00171E71" w:rsidRPr="00A46C5A" w:rsidRDefault="00171E71" w:rsidP="00493EAB">
            <w:pPr>
              <w:pStyle w:val="Standard"/>
              <w:spacing w:after="0" w:line="240" w:lineRule="auto"/>
              <w:jc w:val="center"/>
              <w:rPr>
                <w:rFonts w:ascii="Times New Roman" w:hAnsi="Times New Roman"/>
              </w:rPr>
            </w:pPr>
            <w:r w:rsidRPr="00A46C5A">
              <w:rPr>
                <w:rFonts w:ascii="Times New Roman" w:hAnsi="Times New Roman"/>
              </w:rPr>
              <w:t>górna</w:t>
            </w:r>
          </w:p>
        </w:tc>
        <w:tc>
          <w:tcPr>
            <w:tcW w:w="2129" w:type="dxa"/>
            <w:vMerge/>
            <w:tcBorders>
              <w:left w:val="single" w:sz="4" w:space="0" w:color="auto"/>
              <w:bottom w:val="single" w:sz="4" w:space="0" w:color="000000"/>
              <w:right w:val="single" w:sz="4" w:space="0" w:color="000000"/>
            </w:tcBorders>
            <w:shd w:val="clear" w:color="auto" w:fill="DEEAF6"/>
            <w:tcMar>
              <w:top w:w="0" w:type="dxa"/>
              <w:left w:w="108" w:type="dxa"/>
              <w:bottom w:w="0" w:type="dxa"/>
              <w:right w:w="108" w:type="dxa"/>
            </w:tcMar>
          </w:tcPr>
          <w:p w14:paraId="7133483B" w14:textId="77777777" w:rsidR="00171E71" w:rsidRPr="00A46C5A" w:rsidRDefault="00171E71" w:rsidP="00493EAB">
            <w:pPr>
              <w:pStyle w:val="Standard"/>
              <w:spacing w:after="0" w:line="240" w:lineRule="auto"/>
              <w:jc w:val="center"/>
              <w:rPr>
                <w:rFonts w:ascii="Times New Roman" w:hAnsi="Times New Roman"/>
              </w:rPr>
            </w:pPr>
          </w:p>
        </w:tc>
      </w:tr>
      <w:tr w:rsidR="00171E71" w14:paraId="2C778F3C" w14:textId="77777777" w:rsidTr="00896E41">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33A05" w14:textId="77777777" w:rsidR="00171E71" w:rsidRPr="00A46C5A" w:rsidRDefault="00171E71" w:rsidP="00493EAB">
            <w:pPr>
              <w:pStyle w:val="Standard"/>
              <w:spacing w:after="0" w:line="240" w:lineRule="auto"/>
              <w:jc w:val="both"/>
            </w:pPr>
            <w:r w:rsidRPr="00A46C5A">
              <w:rPr>
                <w:rFonts w:ascii="Times New Roman" w:hAnsi="Times New Roman"/>
              </w:rPr>
              <w:t>1.</w:t>
            </w:r>
          </w:p>
        </w:tc>
        <w:tc>
          <w:tcPr>
            <w:tcW w:w="2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58B10" w14:textId="77777777" w:rsidR="00171E71" w:rsidRPr="00A46C5A" w:rsidRDefault="00171E71" w:rsidP="00493EAB">
            <w:pPr>
              <w:pStyle w:val="Standard"/>
              <w:spacing w:after="0" w:line="240" w:lineRule="auto"/>
              <w:jc w:val="both"/>
            </w:pPr>
            <w:r w:rsidRPr="00A46C5A">
              <w:rPr>
                <w:rFonts w:ascii="Times New Roman" w:hAnsi="Times New Roman"/>
              </w:rPr>
              <w:t>Lokalizacja szczegółowa</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4B5F5" w14:textId="77777777" w:rsidR="00171E71" w:rsidRPr="00A46C5A" w:rsidRDefault="00171E71" w:rsidP="00493EAB">
            <w:pPr>
              <w:pStyle w:val="Standard"/>
              <w:spacing w:after="0" w:line="240" w:lineRule="auto"/>
              <w:jc w:val="both"/>
            </w:pPr>
            <w:r w:rsidRPr="00A46C5A">
              <w:rPr>
                <w:rFonts w:ascii="Times New Roman" w:hAnsi="Times New Roman"/>
              </w:rPr>
              <w:t>Korzystna</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56D58" w14:textId="77777777" w:rsidR="00171E71" w:rsidRPr="00A46C5A" w:rsidRDefault="00171E71" w:rsidP="00493EAB">
            <w:pPr>
              <w:pStyle w:val="Standard"/>
              <w:spacing w:after="0" w:line="240" w:lineRule="auto"/>
              <w:jc w:val="center"/>
            </w:pPr>
            <w:r w:rsidRPr="00A46C5A">
              <w:rPr>
                <w:rFonts w:ascii="Times New Roman" w:hAnsi="Times New Roman"/>
              </w:rPr>
              <w:t>0,217</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08DAD" w14:textId="77777777" w:rsidR="00171E71" w:rsidRPr="00A46C5A" w:rsidRDefault="00171E71" w:rsidP="00493EAB">
            <w:pPr>
              <w:pStyle w:val="Standard"/>
              <w:spacing w:after="0" w:line="240" w:lineRule="auto"/>
              <w:jc w:val="center"/>
            </w:pPr>
            <w:r w:rsidRPr="00A46C5A">
              <w:rPr>
                <w:rFonts w:ascii="Times New Roman" w:hAnsi="Times New Roman"/>
              </w:rPr>
              <w:t>0,582</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81557" w14:textId="77777777" w:rsidR="00171E71" w:rsidRPr="00A46C5A" w:rsidRDefault="00171E71" w:rsidP="00493EAB">
            <w:pPr>
              <w:pStyle w:val="Standard"/>
              <w:spacing w:after="0" w:line="240" w:lineRule="auto"/>
              <w:jc w:val="center"/>
            </w:pPr>
            <w:r w:rsidRPr="00A46C5A">
              <w:rPr>
                <w:rFonts w:ascii="Times New Roman" w:hAnsi="Times New Roman"/>
              </w:rPr>
              <w:t>0,582</w:t>
            </w:r>
          </w:p>
        </w:tc>
      </w:tr>
      <w:tr w:rsidR="00171E71" w14:paraId="08CA7637" w14:textId="77777777" w:rsidTr="00896E41">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EC88B" w14:textId="77777777" w:rsidR="00171E71" w:rsidRPr="00A46C5A" w:rsidRDefault="00171E71" w:rsidP="00493EAB">
            <w:pPr>
              <w:pStyle w:val="Standard"/>
              <w:spacing w:after="0" w:line="240" w:lineRule="auto"/>
              <w:jc w:val="both"/>
            </w:pPr>
            <w:r w:rsidRPr="00A46C5A">
              <w:rPr>
                <w:rFonts w:ascii="Times New Roman" w:hAnsi="Times New Roman"/>
              </w:rPr>
              <w:t>2.</w:t>
            </w:r>
          </w:p>
        </w:tc>
        <w:tc>
          <w:tcPr>
            <w:tcW w:w="2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02483" w14:textId="77777777" w:rsidR="00171E71" w:rsidRPr="00A46C5A" w:rsidRDefault="00171E71" w:rsidP="00493EAB">
            <w:pPr>
              <w:pStyle w:val="Standard"/>
              <w:spacing w:after="0" w:line="240" w:lineRule="auto"/>
              <w:jc w:val="both"/>
              <w:rPr>
                <w:rFonts w:ascii="Times New Roman" w:hAnsi="Times New Roman"/>
              </w:rPr>
            </w:pPr>
            <w:r w:rsidRPr="00A46C5A">
              <w:rPr>
                <w:rFonts w:ascii="Times New Roman" w:hAnsi="Times New Roman"/>
              </w:rPr>
              <w:t xml:space="preserve">Uzbrojenie </w:t>
            </w:r>
          </w:p>
          <w:p w14:paraId="5F2568EB" w14:textId="77777777" w:rsidR="00171E71" w:rsidRPr="00A46C5A" w:rsidRDefault="00171E71" w:rsidP="00493EAB">
            <w:pPr>
              <w:pStyle w:val="Standard"/>
              <w:spacing w:after="0" w:line="240" w:lineRule="auto"/>
              <w:jc w:val="both"/>
            </w:pPr>
            <w:r w:rsidRPr="00A46C5A">
              <w:rPr>
                <w:rFonts w:ascii="Times New Roman" w:hAnsi="Times New Roman"/>
              </w:rPr>
              <w:t>w mediach</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6DA1C" w14:textId="77777777" w:rsidR="00171E71" w:rsidRPr="00A46C5A" w:rsidRDefault="00171E71" w:rsidP="00493EAB">
            <w:pPr>
              <w:pStyle w:val="Standard"/>
              <w:spacing w:after="0" w:line="240" w:lineRule="auto"/>
              <w:jc w:val="both"/>
            </w:pPr>
            <w:r w:rsidRPr="00A46C5A">
              <w:rPr>
                <w:rFonts w:ascii="Times New Roman" w:hAnsi="Times New Roman"/>
              </w:rPr>
              <w:t>W zasięgu</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A3CBE" w14:textId="77777777" w:rsidR="00171E71" w:rsidRPr="00A46C5A" w:rsidRDefault="00171E71" w:rsidP="00493EAB">
            <w:pPr>
              <w:pStyle w:val="Standard"/>
              <w:spacing w:after="0" w:line="240" w:lineRule="auto"/>
              <w:jc w:val="center"/>
            </w:pPr>
            <w:r w:rsidRPr="00A46C5A">
              <w:rPr>
                <w:rFonts w:ascii="Times New Roman" w:hAnsi="Times New Roman"/>
              </w:rPr>
              <w:t>0,124</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8ECF7" w14:textId="77777777" w:rsidR="00171E71" w:rsidRPr="00A46C5A" w:rsidRDefault="00171E71" w:rsidP="00493EAB">
            <w:pPr>
              <w:pStyle w:val="Standard"/>
              <w:spacing w:after="0" w:line="240" w:lineRule="auto"/>
              <w:jc w:val="center"/>
            </w:pPr>
            <w:r w:rsidRPr="00A46C5A">
              <w:rPr>
                <w:rFonts w:ascii="Times New Roman" w:hAnsi="Times New Roman"/>
              </w:rPr>
              <w:t>0,332</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6C18" w14:textId="77777777" w:rsidR="00171E71" w:rsidRPr="00A46C5A" w:rsidRDefault="00171E71" w:rsidP="00493EAB">
            <w:pPr>
              <w:pStyle w:val="Standard"/>
              <w:spacing w:after="0" w:line="240" w:lineRule="auto"/>
              <w:jc w:val="center"/>
            </w:pPr>
            <w:r w:rsidRPr="00A46C5A">
              <w:rPr>
                <w:rFonts w:ascii="Times New Roman" w:hAnsi="Times New Roman"/>
              </w:rPr>
              <w:t>0,332</w:t>
            </w:r>
          </w:p>
        </w:tc>
      </w:tr>
      <w:tr w:rsidR="00171E71" w14:paraId="4EE2A9F6" w14:textId="77777777" w:rsidTr="00896E41">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5D6DF" w14:textId="77777777" w:rsidR="00171E71" w:rsidRPr="00A46C5A" w:rsidRDefault="00171E71" w:rsidP="00493EAB">
            <w:pPr>
              <w:pStyle w:val="Standard"/>
              <w:spacing w:after="0" w:line="240" w:lineRule="auto"/>
              <w:jc w:val="both"/>
            </w:pPr>
            <w:r w:rsidRPr="00A46C5A">
              <w:rPr>
                <w:rFonts w:ascii="Times New Roman" w:hAnsi="Times New Roman"/>
              </w:rPr>
              <w:t>3.</w:t>
            </w:r>
          </w:p>
        </w:tc>
        <w:tc>
          <w:tcPr>
            <w:tcW w:w="2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1205F" w14:textId="77777777" w:rsidR="00171E71" w:rsidRPr="00A46C5A" w:rsidRDefault="00171E71" w:rsidP="00493EAB">
            <w:pPr>
              <w:pStyle w:val="Standard"/>
              <w:spacing w:after="0" w:line="240" w:lineRule="auto"/>
              <w:jc w:val="both"/>
            </w:pPr>
            <w:r w:rsidRPr="00A46C5A">
              <w:rPr>
                <w:rFonts w:ascii="Times New Roman" w:hAnsi="Times New Roman"/>
              </w:rPr>
              <w:t>Powierzchnia działki</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3C3EA" w14:textId="77777777" w:rsidR="00171E71" w:rsidRPr="00A46C5A" w:rsidRDefault="00171E71" w:rsidP="00493EAB">
            <w:pPr>
              <w:pStyle w:val="Standard"/>
              <w:spacing w:after="0" w:line="240" w:lineRule="auto"/>
              <w:jc w:val="both"/>
            </w:pPr>
            <w:r w:rsidRPr="00A46C5A">
              <w:rPr>
                <w:rFonts w:ascii="Times New Roman" w:hAnsi="Times New Roman"/>
              </w:rPr>
              <w:t>Średnia</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FB4F5" w14:textId="77777777" w:rsidR="00171E71" w:rsidRPr="00A46C5A" w:rsidRDefault="00171E71" w:rsidP="00493EAB">
            <w:pPr>
              <w:pStyle w:val="Standard"/>
              <w:spacing w:after="0" w:line="240" w:lineRule="auto"/>
              <w:jc w:val="center"/>
            </w:pPr>
            <w:r w:rsidRPr="00A46C5A">
              <w:rPr>
                <w:rFonts w:ascii="Times New Roman" w:hAnsi="Times New Roman"/>
              </w:rPr>
              <w:t>0,093</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E09C0" w14:textId="77777777" w:rsidR="00171E71" w:rsidRPr="00A46C5A" w:rsidRDefault="00171E71" w:rsidP="00493EAB">
            <w:pPr>
              <w:pStyle w:val="Standard"/>
              <w:spacing w:after="0" w:line="240" w:lineRule="auto"/>
              <w:jc w:val="center"/>
            </w:pPr>
            <w:r w:rsidRPr="00A46C5A">
              <w:rPr>
                <w:rFonts w:ascii="Times New Roman" w:hAnsi="Times New Roman"/>
              </w:rPr>
              <w:t>0,249</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8D00F" w14:textId="77777777" w:rsidR="00171E71" w:rsidRPr="00A46C5A" w:rsidRDefault="00171E71" w:rsidP="00493EAB">
            <w:pPr>
              <w:pStyle w:val="Standard"/>
              <w:spacing w:after="0" w:line="240" w:lineRule="auto"/>
              <w:jc w:val="center"/>
            </w:pPr>
            <w:r w:rsidRPr="00A46C5A">
              <w:rPr>
                <w:rFonts w:ascii="Times New Roman" w:hAnsi="Times New Roman"/>
              </w:rPr>
              <w:t>0,171</w:t>
            </w:r>
          </w:p>
        </w:tc>
      </w:tr>
      <w:tr w:rsidR="00171E71" w14:paraId="6752FAC8" w14:textId="77777777" w:rsidTr="00896E41">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F2C63" w14:textId="77777777" w:rsidR="00171E71" w:rsidRPr="00A46C5A" w:rsidRDefault="00171E71" w:rsidP="00493EAB">
            <w:pPr>
              <w:pStyle w:val="Standard"/>
              <w:spacing w:after="0" w:line="240" w:lineRule="auto"/>
              <w:jc w:val="both"/>
            </w:pPr>
            <w:r w:rsidRPr="00A46C5A">
              <w:rPr>
                <w:rFonts w:ascii="Times New Roman" w:hAnsi="Times New Roman"/>
              </w:rPr>
              <w:t>4.</w:t>
            </w:r>
          </w:p>
        </w:tc>
        <w:tc>
          <w:tcPr>
            <w:tcW w:w="2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6D2FE" w14:textId="77777777" w:rsidR="00171E71" w:rsidRPr="00A46C5A" w:rsidRDefault="00171E71" w:rsidP="00493EAB">
            <w:pPr>
              <w:pStyle w:val="Standard"/>
              <w:spacing w:after="0" w:line="240" w:lineRule="auto"/>
              <w:jc w:val="both"/>
            </w:pPr>
            <w:r w:rsidRPr="00A46C5A">
              <w:rPr>
                <w:rFonts w:ascii="Times New Roman" w:hAnsi="Times New Roman"/>
              </w:rPr>
              <w:t>Jakość dojazdu</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92BE0" w14:textId="77777777" w:rsidR="00171E71" w:rsidRPr="00A46C5A" w:rsidRDefault="00171E71" w:rsidP="00493EAB">
            <w:pPr>
              <w:pStyle w:val="Standard"/>
              <w:spacing w:after="0" w:line="240" w:lineRule="auto"/>
              <w:jc w:val="both"/>
            </w:pPr>
            <w:r w:rsidRPr="00A46C5A">
              <w:rPr>
                <w:rFonts w:ascii="Times New Roman" w:hAnsi="Times New Roman"/>
              </w:rPr>
              <w:t>Dobry</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4DC6F" w14:textId="77777777" w:rsidR="00171E71" w:rsidRPr="00A46C5A" w:rsidRDefault="00171E71" w:rsidP="00493EAB">
            <w:pPr>
              <w:pStyle w:val="Standard"/>
              <w:spacing w:after="0" w:line="240" w:lineRule="auto"/>
              <w:jc w:val="center"/>
            </w:pPr>
            <w:r w:rsidRPr="00A46C5A">
              <w:rPr>
                <w:rFonts w:ascii="Times New Roman" w:hAnsi="Times New Roman"/>
              </w:rPr>
              <w:t>0,062</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960AC" w14:textId="77777777" w:rsidR="00171E71" w:rsidRPr="00A46C5A" w:rsidRDefault="00171E71" w:rsidP="00493EAB">
            <w:pPr>
              <w:pStyle w:val="Standard"/>
              <w:spacing w:after="0" w:line="240" w:lineRule="auto"/>
              <w:jc w:val="center"/>
            </w:pPr>
            <w:r w:rsidRPr="00A46C5A">
              <w:rPr>
                <w:rFonts w:ascii="Times New Roman" w:hAnsi="Times New Roman"/>
              </w:rPr>
              <w:t>0,166</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E71DD" w14:textId="77777777" w:rsidR="00171E71" w:rsidRPr="00A46C5A" w:rsidRDefault="00171E71" w:rsidP="00493EAB">
            <w:pPr>
              <w:pStyle w:val="Standard"/>
              <w:spacing w:after="0" w:line="240" w:lineRule="auto"/>
              <w:jc w:val="center"/>
            </w:pPr>
            <w:r w:rsidRPr="00A46C5A">
              <w:rPr>
                <w:rFonts w:ascii="Times New Roman" w:hAnsi="Times New Roman"/>
              </w:rPr>
              <w:t>0,166</w:t>
            </w:r>
          </w:p>
        </w:tc>
      </w:tr>
      <w:tr w:rsidR="00171E71" w14:paraId="32821903" w14:textId="77777777" w:rsidTr="00896E41">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BC024" w14:textId="77777777" w:rsidR="00171E71" w:rsidRPr="00A46C5A" w:rsidRDefault="00171E71" w:rsidP="00493EAB">
            <w:pPr>
              <w:pStyle w:val="Standard"/>
              <w:spacing w:after="0" w:line="240" w:lineRule="auto"/>
              <w:jc w:val="both"/>
            </w:pPr>
            <w:r w:rsidRPr="00A46C5A">
              <w:rPr>
                <w:rFonts w:ascii="Times New Roman" w:hAnsi="Times New Roman"/>
              </w:rPr>
              <w:t>5.</w:t>
            </w:r>
          </w:p>
        </w:tc>
        <w:tc>
          <w:tcPr>
            <w:tcW w:w="2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71E16" w14:textId="77777777" w:rsidR="00171E71" w:rsidRPr="00A46C5A" w:rsidRDefault="00171E71" w:rsidP="00493EAB">
            <w:pPr>
              <w:pStyle w:val="Standard"/>
              <w:spacing w:after="0" w:line="240" w:lineRule="auto"/>
            </w:pPr>
            <w:r w:rsidRPr="00A46C5A">
              <w:rPr>
                <w:rFonts w:ascii="Times New Roman" w:hAnsi="Times New Roman"/>
              </w:rPr>
              <w:t>Utrudnienia inwestycyjne</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A1952" w14:textId="77777777" w:rsidR="00171E71" w:rsidRPr="00A46C5A" w:rsidRDefault="00171E71" w:rsidP="00493EAB">
            <w:pPr>
              <w:pStyle w:val="Standard"/>
              <w:spacing w:after="0" w:line="240" w:lineRule="auto"/>
            </w:pPr>
            <w:r w:rsidRPr="00A46C5A">
              <w:rPr>
                <w:rFonts w:ascii="Times New Roman" w:hAnsi="Times New Roman"/>
              </w:rPr>
              <w:t>Brak</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A24C7" w14:textId="77777777" w:rsidR="00171E71" w:rsidRPr="00A46C5A" w:rsidRDefault="00171E71" w:rsidP="00493EAB">
            <w:pPr>
              <w:pStyle w:val="Standard"/>
              <w:spacing w:after="0" w:line="240" w:lineRule="auto"/>
              <w:jc w:val="center"/>
            </w:pPr>
            <w:r w:rsidRPr="00A46C5A">
              <w:rPr>
                <w:rFonts w:ascii="Times New Roman" w:hAnsi="Times New Roman"/>
              </w:rPr>
              <w:t>0,123</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18C6E" w14:textId="77777777" w:rsidR="00171E71" w:rsidRPr="00A46C5A" w:rsidRDefault="00171E71" w:rsidP="00493EAB">
            <w:pPr>
              <w:pStyle w:val="Standard"/>
              <w:spacing w:after="0" w:line="240" w:lineRule="auto"/>
              <w:jc w:val="center"/>
            </w:pPr>
            <w:r w:rsidRPr="00A46C5A">
              <w:rPr>
                <w:rFonts w:ascii="Times New Roman" w:hAnsi="Times New Roman"/>
              </w:rPr>
              <w:t>0,333</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54343" w14:textId="77777777" w:rsidR="00171E71" w:rsidRPr="00A46C5A" w:rsidRDefault="00171E71" w:rsidP="00493EAB">
            <w:pPr>
              <w:pStyle w:val="Standard"/>
              <w:spacing w:after="0" w:line="240" w:lineRule="auto"/>
              <w:jc w:val="center"/>
            </w:pPr>
            <w:r w:rsidRPr="00A46C5A">
              <w:rPr>
                <w:rFonts w:ascii="Times New Roman" w:hAnsi="Times New Roman"/>
              </w:rPr>
              <w:t>0,333</w:t>
            </w:r>
          </w:p>
        </w:tc>
      </w:tr>
      <w:tr w:rsidR="00171E71" w14:paraId="6FF6353E" w14:textId="77777777" w:rsidTr="00896E41">
        <w:tc>
          <w:tcPr>
            <w:tcW w:w="6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06605B" w14:textId="77777777" w:rsidR="00171E71" w:rsidRPr="00A46C5A" w:rsidRDefault="00171E71" w:rsidP="00493EAB">
            <w:pPr>
              <w:pStyle w:val="Standard"/>
              <w:spacing w:after="0" w:line="240" w:lineRule="auto"/>
              <w:jc w:val="both"/>
              <w:rPr>
                <w:rFonts w:ascii="Times New Roman" w:hAnsi="Times New Roman"/>
              </w:rPr>
            </w:pPr>
          </w:p>
        </w:tc>
        <w:tc>
          <w:tcPr>
            <w:tcW w:w="2080" w:type="dxa"/>
            <w:tcBorders>
              <w:top w:val="single" w:sz="4" w:space="0" w:color="000000"/>
              <w:bottom w:val="single" w:sz="4" w:space="0" w:color="000000"/>
            </w:tcBorders>
            <w:shd w:val="clear" w:color="auto" w:fill="auto"/>
            <w:tcMar>
              <w:top w:w="0" w:type="dxa"/>
              <w:left w:w="108" w:type="dxa"/>
              <w:bottom w:w="0" w:type="dxa"/>
              <w:right w:w="108" w:type="dxa"/>
            </w:tcMar>
          </w:tcPr>
          <w:p w14:paraId="43AB5BD9" w14:textId="77777777" w:rsidR="00171E71" w:rsidRPr="00A46C5A" w:rsidRDefault="00171E71" w:rsidP="00493EAB">
            <w:pPr>
              <w:pStyle w:val="Standard"/>
              <w:spacing w:after="0" w:line="240" w:lineRule="auto"/>
              <w:jc w:val="both"/>
              <w:rPr>
                <w:rFonts w:ascii="Times New Roman" w:hAnsi="Times New Roman"/>
              </w:rPr>
            </w:pPr>
          </w:p>
        </w:tc>
        <w:tc>
          <w:tcPr>
            <w:tcW w:w="183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F770A" w14:textId="77777777" w:rsidR="00171E71" w:rsidRPr="00A46C5A" w:rsidRDefault="00171E71" w:rsidP="00493EAB">
            <w:pPr>
              <w:pStyle w:val="Standard"/>
              <w:spacing w:after="0" w:line="240" w:lineRule="auto"/>
              <w:jc w:val="right"/>
            </w:pPr>
            <w:r w:rsidRPr="00A46C5A">
              <w:rPr>
                <w:rFonts w:ascii="Times New Roman" w:hAnsi="Times New Roman"/>
              </w:rPr>
              <w:t>Suma</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680FE" w14:textId="77777777" w:rsidR="00171E71" w:rsidRPr="00A46C5A" w:rsidRDefault="00171E71" w:rsidP="00493EAB">
            <w:pPr>
              <w:pStyle w:val="Standard"/>
              <w:spacing w:after="0" w:line="240" w:lineRule="auto"/>
              <w:jc w:val="center"/>
            </w:pPr>
            <w:r w:rsidRPr="00A46C5A">
              <w:rPr>
                <w:rFonts w:ascii="Times New Roman" w:hAnsi="Times New Roman"/>
              </w:rPr>
              <w:t>0,619</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F5941" w14:textId="77777777" w:rsidR="00171E71" w:rsidRPr="00A46C5A" w:rsidRDefault="00171E71" w:rsidP="00493EAB">
            <w:pPr>
              <w:pStyle w:val="Standard"/>
              <w:spacing w:after="0" w:line="240" w:lineRule="auto"/>
              <w:jc w:val="center"/>
            </w:pPr>
            <w:r w:rsidRPr="00A46C5A">
              <w:rPr>
                <w:rFonts w:ascii="Times New Roman" w:hAnsi="Times New Roman"/>
              </w:rPr>
              <w:t>1,662</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FE94F" w14:textId="77777777" w:rsidR="00171E71" w:rsidRPr="00A46C5A" w:rsidRDefault="00171E71" w:rsidP="00493EAB">
            <w:pPr>
              <w:pStyle w:val="Standard"/>
              <w:spacing w:after="0" w:line="240" w:lineRule="auto"/>
              <w:jc w:val="center"/>
            </w:pPr>
            <w:r w:rsidRPr="00A46C5A">
              <w:rPr>
                <w:rFonts w:ascii="Times New Roman" w:hAnsi="Times New Roman"/>
              </w:rPr>
              <w:t>1,584</w:t>
            </w:r>
          </w:p>
        </w:tc>
      </w:tr>
    </w:tbl>
    <w:p w14:paraId="5365788B" w14:textId="77777777" w:rsidR="00171E71" w:rsidRDefault="00171E71" w:rsidP="00493EAB">
      <w:pPr>
        <w:pStyle w:val="Standard"/>
        <w:spacing w:line="240" w:lineRule="auto"/>
        <w:ind w:firstLine="360"/>
        <w:jc w:val="both"/>
        <w:rPr>
          <w:rFonts w:ascii="Times New Roman" w:hAnsi="Times New Roman"/>
          <w:sz w:val="24"/>
          <w:szCs w:val="24"/>
          <w:u w:val="single"/>
        </w:rPr>
      </w:pPr>
    </w:p>
    <w:p w14:paraId="76CE516C" w14:textId="77777777" w:rsidR="00171E71" w:rsidRDefault="00171E71" w:rsidP="00493EAB">
      <w:pPr>
        <w:pStyle w:val="Standard"/>
        <w:spacing w:line="240" w:lineRule="auto"/>
        <w:ind w:firstLine="360"/>
        <w:jc w:val="both"/>
      </w:pPr>
      <w:r>
        <w:rPr>
          <w:rFonts w:ascii="Times New Roman" w:hAnsi="Times New Roman"/>
          <w:sz w:val="24"/>
          <w:szCs w:val="24"/>
          <w:u w:val="single"/>
        </w:rPr>
        <w:t>Wartość rynkowa 1 ha gruntu rolnego:</w:t>
      </w:r>
    </w:p>
    <w:p w14:paraId="64168FC6" w14:textId="77777777" w:rsidR="00171E71" w:rsidRDefault="00171E71" w:rsidP="00493EAB">
      <w:pPr>
        <w:pStyle w:val="Standard"/>
        <w:spacing w:line="240" w:lineRule="auto"/>
        <w:ind w:firstLine="360"/>
        <w:jc w:val="both"/>
      </w:pPr>
      <w:r>
        <w:rPr>
          <w:rFonts w:ascii="Times New Roman" w:hAnsi="Times New Roman"/>
          <w:b/>
          <w:i/>
          <w:iCs/>
          <w:sz w:val="24"/>
          <w:szCs w:val="24"/>
        </w:rPr>
        <w:t>Wj</w:t>
      </w:r>
      <w:r>
        <w:rPr>
          <w:rFonts w:ascii="Times New Roman" w:hAnsi="Times New Roman"/>
          <w:b/>
          <w:sz w:val="24"/>
          <w:szCs w:val="24"/>
        </w:rPr>
        <w:t xml:space="preserve"> = </w:t>
      </w:r>
      <w:r>
        <w:rPr>
          <w:rFonts w:ascii="Times New Roman" w:hAnsi="Times New Roman"/>
          <w:sz w:val="24"/>
          <w:szCs w:val="24"/>
        </w:rPr>
        <w:t>C</w:t>
      </w:r>
      <w:r>
        <w:rPr>
          <w:rFonts w:ascii="Times New Roman" w:hAnsi="Times New Roman"/>
          <w:sz w:val="24"/>
          <w:szCs w:val="24"/>
          <w:vertAlign w:val="subscript"/>
        </w:rPr>
        <w:t xml:space="preserve">śr </w:t>
      </w:r>
      <w:r>
        <w:rPr>
          <w:rFonts w:ascii="Times New Roman" w:hAnsi="Times New Roman"/>
          <w:sz w:val="24"/>
          <w:szCs w:val="24"/>
        </w:rPr>
        <w:t>[zł/m</w:t>
      </w:r>
      <w:r>
        <w:rPr>
          <w:rFonts w:ascii="Times New Roman" w:hAnsi="Times New Roman"/>
          <w:sz w:val="24"/>
          <w:szCs w:val="24"/>
          <w:vertAlign w:val="superscript"/>
        </w:rPr>
        <w:t>2</w:t>
      </w:r>
      <w:r>
        <w:rPr>
          <w:rFonts w:ascii="Times New Roman" w:hAnsi="Times New Roman"/>
          <w:sz w:val="24"/>
          <w:szCs w:val="24"/>
        </w:rPr>
        <w:t>]</w:t>
      </w:r>
      <w:r>
        <w:rPr>
          <w:rFonts w:ascii="Times New Roman" w:hAnsi="Times New Roman"/>
          <w:sz w:val="24"/>
          <w:szCs w:val="24"/>
          <w:vertAlign w:val="superscript"/>
        </w:rPr>
        <w:t xml:space="preserve">  </w:t>
      </w:r>
      <w:r>
        <w:rPr>
          <w:rFonts w:ascii="Times New Roman" w:hAnsi="Times New Roman"/>
          <w:sz w:val="24"/>
          <w:szCs w:val="24"/>
        </w:rPr>
        <w:t>x ∑u</w:t>
      </w:r>
      <w:r>
        <w:rPr>
          <w:rFonts w:ascii="Times New Roman" w:hAnsi="Times New Roman"/>
          <w:sz w:val="24"/>
          <w:szCs w:val="24"/>
          <w:vertAlign w:val="subscript"/>
        </w:rPr>
        <w:t>i</w:t>
      </w:r>
      <w:r>
        <w:rPr>
          <w:rFonts w:ascii="Times New Roman" w:hAnsi="Times New Roman"/>
          <w:sz w:val="24"/>
          <w:szCs w:val="24"/>
        </w:rPr>
        <w:t xml:space="preserve"> = 86,92 zł/m</w:t>
      </w:r>
      <w:r>
        <w:rPr>
          <w:rFonts w:ascii="Times New Roman" w:hAnsi="Times New Roman"/>
          <w:sz w:val="24"/>
          <w:szCs w:val="24"/>
          <w:vertAlign w:val="superscript"/>
        </w:rPr>
        <w:t>2</w:t>
      </w:r>
      <w:r>
        <w:rPr>
          <w:rFonts w:ascii="Times New Roman" w:hAnsi="Times New Roman"/>
          <w:sz w:val="24"/>
          <w:szCs w:val="24"/>
        </w:rPr>
        <w:t xml:space="preserve"> x 1,584 = </w:t>
      </w:r>
      <w:r w:rsidRPr="00801FCD">
        <w:rPr>
          <w:rFonts w:ascii="Times New Roman" w:hAnsi="Times New Roman"/>
          <w:b/>
          <w:sz w:val="24"/>
          <w:szCs w:val="24"/>
        </w:rPr>
        <w:t>137,68 z</w:t>
      </w:r>
      <w:r>
        <w:rPr>
          <w:rFonts w:ascii="Times New Roman" w:hAnsi="Times New Roman"/>
          <w:b/>
          <w:sz w:val="24"/>
          <w:szCs w:val="24"/>
        </w:rPr>
        <w:t>ł/m</w:t>
      </w:r>
      <w:r>
        <w:rPr>
          <w:rFonts w:ascii="Times New Roman" w:hAnsi="Times New Roman"/>
          <w:b/>
          <w:sz w:val="24"/>
          <w:szCs w:val="24"/>
          <w:vertAlign w:val="superscript"/>
        </w:rPr>
        <w:t>2</w:t>
      </w:r>
    </w:p>
    <w:p w14:paraId="50967C5D" w14:textId="77777777" w:rsidR="00171E71" w:rsidRDefault="00171E71" w:rsidP="00493EAB">
      <w:pPr>
        <w:pStyle w:val="Standard"/>
        <w:spacing w:line="240" w:lineRule="auto"/>
        <w:ind w:firstLine="360"/>
        <w:jc w:val="both"/>
      </w:pPr>
      <w:r>
        <w:rPr>
          <w:rFonts w:ascii="Times New Roman" w:hAnsi="Times New Roman"/>
          <w:sz w:val="24"/>
          <w:szCs w:val="24"/>
        </w:rPr>
        <w:t>Rzeczoznawca wartość rynkową 1 m</w:t>
      </w:r>
      <w:r>
        <w:rPr>
          <w:rFonts w:ascii="Times New Roman" w:hAnsi="Times New Roman"/>
          <w:sz w:val="24"/>
          <w:szCs w:val="24"/>
          <w:vertAlign w:val="superscript"/>
        </w:rPr>
        <w:t>2</w:t>
      </w:r>
      <w:r>
        <w:rPr>
          <w:rFonts w:ascii="Times New Roman" w:hAnsi="Times New Roman"/>
          <w:sz w:val="24"/>
          <w:szCs w:val="24"/>
        </w:rPr>
        <w:t xml:space="preserve"> prawa własności gruntu działki oszacował, biorąc nieruchomości porównawcze z tabeli 1, cechy rynkowe i ich wagi z tabeli 2 i 3. Średnioważona wartość rynkowa prawa własności gruntu wyniosła </w:t>
      </w:r>
      <w:r w:rsidRPr="00801FCD">
        <w:rPr>
          <w:rFonts w:ascii="Times New Roman" w:hAnsi="Times New Roman"/>
          <w:b/>
          <w:sz w:val="24"/>
          <w:szCs w:val="24"/>
        </w:rPr>
        <w:t>137,68 z</w:t>
      </w:r>
      <w:r>
        <w:rPr>
          <w:rFonts w:ascii="Times New Roman" w:hAnsi="Times New Roman"/>
          <w:b/>
          <w:sz w:val="24"/>
          <w:szCs w:val="24"/>
        </w:rPr>
        <w:t>ł/m</w:t>
      </w:r>
      <w:r>
        <w:rPr>
          <w:rFonts w:ascii="Times New Roman" w:hAnsi="Times New Roman"/>
          <w:b/>
          <w:sz w:val="24"/>
          <w:szCs w:val="24"/>
          <w:vertAlign w:val="superscript"/>
        </w:rPr>
        <w:t>2</w:t>
      </w:r>
    </w:p>
    <w:p w14:paraId="382DE908" w14:textId="77777777" w:rsidR="00171E71" w:rsidRDefault="00171E71" w:rsidP="00493EAB">
      <w:pPr>
        <w:pStyle w:val="Standard"/>
        <w:spacing w:after="0" w:line="240" w:lineRule="auto"/>
        <w:ind w:firstLine="360"/>
        <w:jc w:val="both"/>
      </w:pPr>
      <w:r>
        <w:rPr>
          <w:rFonts w:ascii="Times New Roman" w:eastAsia="Times New Roman" w:hAnsi="Times New Roman"/>
          <w:sz w:val="24"/>
          <w:szCs w:val="24"/>
        </w:rPr>
        <w:t xml:space="preserve">Powyższe zapisy dowodzą, że rzeczoznawca przy określaniu wartości rynkowej nieruchomości uwzględnił – stosownie do zapisów art. 134 ust. 2 ustawy </w:t>
      </w:r>
      <w:r>
        <w:rPr>
          <w:rFonts w:ascii="Times New Roman" w:eastAsia="Times New Roman" w:hAnsi="Times New Roman"/>
          <w:i/>
          <w:iCs/>
          <w:sz w:val="24"/>
          <w:szCs w:val="24"/>
        </w:rPr>
        <w:t>o gospodarce nieruchomościami</w:t>
      </w:r>
      <w:r>
        <w:rPr>
          <w:rFonts w:ascii="Times New Roman" w:eastAsia="Times New Roman" w:hAnsi="Times New Roman"/>
          <w:sz w:val="24"/>
          <w:szCs w:val="24"/>
        </w:rPr>
        <w:t xml:space="preserve"> – rodzaj nieruchomości, położenie, sposób użytkowania, przeznaczenie, stan nieruchomości oraz aktualnie kształtujące się ceny w obrocie nieruchomościami.</w:t>
      </w:r>
    </w:p>
    <w:p w14:paraId="5451AB4D" w14:textId="77777777" w:rsidR="00171E71" w:rsidRDefault="00171E71" w:rsidP="00493EAB">
      <w:pPr>
        <w:pStyle w:val="Standard"/>
        <w:spacing w:line="240" w:lineRule="auto"/>
        <w:ind w:firstLine="360"/>
        <w:jc w:val="both"/>
        <w:rPr>
          <w:rFonts w:ascii="Times New Roman" w:hAnsi="Times New Roman"/>
          <w:b/>
          <w:sz w:val="24"/>
          <w:szCs w:val="24"/>
        </w:rPr>
      </w:pPr>
    </w:p>
    <w:p w14:paraId="5C25892E" w14:textId="77777777" w:rsidR="00171E71" w:rsidRDefault="00171E71" w:rsidP="00493EAB">
      <w:pPr>
        <w:pStyle w:val="Standard"/>
        <w:spacing w:after="0" w:line="240" w:lineRule="auto"/>
        <w:ind w:firstLine="360"/>
        <w:jc w:val="both"/>
      </w:pPr>
      <w:r>
        <w:rPr>
          <w:rFonts w:ascii="Times New Roman" w:eastAsia="Times New Roman" w:hAnsi="Times New Roman"/>
          <w:color w:val="000000"/>
          <w:sz w:val="24"/>
          <w:szCs w:val="24"/>
        </w:rPr>
        <w:t>Zmniejszenie wartości nieruchomości na skutek przebudowy jednotorowej linii 110 kV  zależy od czynników wymienionych w 43 ust. 3 Rozporządzenia Rady Ministrów w sprawie wyceny nieruchomości i sporządzania operatu szacunkowego:</w:t>
      </w:r>
    </w:p>
    <w:p w14:paraId="270C8C3E" w14:textId="77777777" w:rsidR="00171E71" w:rsidRDefault="00171E71" w:rsidP="00493EAB">
      <w:pPr>
        <w:pStyle w:val="Akapitzlist"/>
        <w:numPr>
          <w:ilvl w:val="0"/>
          <w:numId w:val="6"/>
        </w:numPr>
        <w:jc w:val="both"/>
      </w:pPr>
      <w:r>
        <w:rPr>
          <w:rFonts w:ascii="Times New Roman" w:hAnsi="Times New Roman"/>
          <w:bCs/>
          <w:color w:val="000000"/>
        </w:rPr>
        <w:t xml:space="preserve">zmiana warunków korzystania z nieruchomości - w przypadku przedmiotowej działki pierwszy czynnik </w:t>
      </w:r>
      <w:r>
        <w:rPr>
          <w:rFonts w:ascii="Times New Roman" w:hAnsi="Times New Roman"/>
          <w:bCs/>
          <w:color w:val="000000"/>
          <w:u w:val="single"/>
        </w:rPr>
        <w:t xml:space="preserve">nie występuje </w:t>
      </w:r>
      <w:r w:rsidRPr="00801FCD">
        <w:rPr>
          <w:rFonts w:ascii="Times New Roman" w:hAnsi="Times New Roman"/>
          <w:bCs/>
          <w:color w:val="000000"/>
        </w:rPr>
        <w:t xml:space="preserve">ponieważ linia elektroenergetyczna nie zmienia warunków korzystania </w:t>
      </w:r>
      <w:r>
        <w:rPr>
          <w:rFonts w:ascii="Times New Roman" w:hAnsi="Times New Roman"/>
          <w:bCs/>
          <w:color w:val="000000"/>
        </w:rPr>
        <w:t xml:space="preserve"> </w:t>
      </w:r>
      <w:r w:rsidRPr="00801FCD">
        <w:rPr>
          <w:rFonts w:ascii="Times New Roman" w:hAnsi="Times New Roman"/>
          <w:bCs/>
          <w:color w:val="000000"/>
        </w:rPr>
        <w:t>z nieruchomości, dojazd do działki odbywa się jak dotychczas</w:t>
      </w:r>
      <w:r>
        <w:rPr>
          <w:rFonts w:ascii="Times New Roman" w:hAnsi="Times New Roman"/>
          <w:bCs/>
          <w:color w:val="000000"/>
        </w:rPr>
        <w:t>, brak jest konieczności poczynienia dodatkowych nakładów w celu dostępu do nieruchomości</w:t>
      </w:r>
      <w:r>
        <w:rPr>
          <w:rFonts w:ascii="Times New Roman" w:hAnsi="Times New Roman"/>
          <w:bCs/>
          <w:color w:val="000000"/>
          <w:u w:val="single"/>
        </w:rPr>
        <w:t>;</w:t>
      </w:r>
    </w:p>
    <w:p w14:paraId="276CFAE5" w14:textId="77777777" w:rsidR="00171E71" w:rsidRDefault="00171E71" w:rsidP="00493EAB">
      <w:pPr>
        <w:pStyle w:val="Akapitzlist"/>
        <w:numPr>
          <w:ilvl w:val="0"/>
          <w:numId w:val="5"/>
        </w:numPr>
        <w:jc w:val="both"/>
      </w:pPr>
      <w:r>
        <w:rPr>
          <w:rFonts w:ascii="Times New Roman" w:hAnsi="Times New Roman"/>
          <w:bCs/>
          <w:color w:val="000000"/>
        </w:rPr>
        <w:t>zmiana przydatności użytkowej nieruchomości</w:t>
      </w:r>
      <w:r>
        <w:rPr>
          <w:rFonts w:ascii="Times New Roman" w:hAnsi="Times New Roman"/>
          <w:bCs/>
          <w:color w:val="000000"/>
          <w:u w:val="single"/>
        </w:rPr>
        <w:t xml:space="preserve"> </w:t>
      </w:r>
      <w:r>
        <w:rPr>
          <w:rFonts w:ascii="Times New Roman" w:hAnsi="Times New Roman"/>
          <w:bCs/>
          <w:color w:val="000000"/>
        </w:rPr>
        <w:t xml:space="preserve">– w przypadku przedmiotowej działki drugi czynnik </w:t>
      </w:r>
      <w:r>
        <w:rPr>
          <w:rFonts w:ascii="Times New Roman" w:hAnsi="Times New Roman"/>
          <w:bCs/>
          <w:color w:val="000000"/>
          <w:u w:val="single"/>
        </w:rPr>
        <w:t xml:space="preserve">nie występuje, </w:t>
      </w:r>
      <w:r w:rsidRPr="00801FCD">
        <w:rPr>
          <w:rFonts w:ascii="Times New Roman" w:hAnsi="Times New Roman"/>
          <w:bCs/>
          <w:color w:val="000000"/>
        </w:rPr>
        <w:t>działka może być użytkowana w dotychczasowy sposób</w:t>
      </w:r>
      <w:r>
        <w:rPr>
          <w:rFonts w:ascii="Times New Roman" w:hAnsi="Times New Roman"/>
          <w:bCs/>
          <w:color w:val="000000"/>
          <w:u w:val="single"/>
        </w:rPr>
        <w:t>;</w:t>
      </w:r>
    </w:p>
    <w:p w14:paraId="1AE1EAE6" w14:textId="77777777" w:rsidR="00171E71" w:rsidRDefault="00171E71" w:rsidP="00493EAB">
      <w:pPr>
        <w:pStyle w:val="Akapitzlist"/>
        <w:numPr>
          <w:ilvl w:val="0"/>
          <w:numId w:val="5"/>
        </w:numPr>
        <w:jc w:val="both"/>
      </w:pPr>
      <w:r>
        <w:rPr>
          <w:rFonts w:ascii="Times New Roman" w:hAnsi="Times New Roman"/>
          <w:bCs/>
          <w:color w:val="000000"/>
        </w:rPr>
        <w:t>trwałe ograniczenie w sposobie korzystania z nieruchomości</w:t>
      </w:r>
      <w:r>
        <w:rPr>
          <w:rFonts w:ascii="Times New Roman" w:hAnsi="Times New Roman"/>
          <w:bCs/>
          <w:color w:val="000000"/>
          <w:u w:val="single"/>
        </w:rPr>
        <w:t xml:space="preserve"> </w:t>
      </w:r>
      <w:r>
        <w:rPr>
          <w:rFonts w:ascii="Times New Roman" w:hAnsi="Times New Roman"/>
          <w:bCs/>
          <w:color w:val="000000"/>
        </w:rPr>
        <w:t xml:space="preserve">– w przypadku przedmiotowej działki trzeci czynnik </w:t>
      </w:r>
      <w:r>
        <w:rPr>
          <w:rFonts w:ascii="Times New Roman" w:hAnsi="Times New Roman"/>
          <w:bCs/>
          <w:color w:val="000000"/>
          <w:u w:val="single"/>
        </w:rPr>
        <w:t>nie występuje.</w:t>
      </w:r>
      <w:r>
        <w:rPr>
          <w:rFonts w:ascii="Times New Roman" w:hAnsi="Times New Roman"/>
          <w:bCs/>
          <w:color w:val="000000"/>
        </w:rPr>
        <w:t xml:space="preserve"> Trwałe ograniczenie sposobu korzystania z nieruchomości jest w pasie eksploatacyjnym linii o szerokości skrajnych przewodów powiększonej o dwa odstępy izolacyjne Del. Zgodnie z oświadczeniem wykonawcy robót budowlanych przed przebudową był poziomy układ przewodów roboczych. Natomiast na linii 100 kV po przebudowie zastosowano trójkątny lub leśny układ przewodów roboczych w związku z czym gabaryty rozstawu przewodów uległy zmniejszeniu. Linia 110 kV została przebudowana po trasie istniejącej linii a ponadto napięcie linii nie uległo zmianie. Ograniczenie sposobu korzystania z nieruchomości dotyczy czynności związanych z zabiegami agrotechnicznymi wykonywanymi sprzętem mechanicznym oraz ograniczonym przebywaniem ludzi w pasie eksploatacyjnym linii elektroenergetycznej na skutek przekroczonego natężenia pola </w:t>
      </w:r>
      <w:r>
        <w:rPr>
          <w:rFonts w:ascii="Times New Roman" w:hAnsi="Times New Roman"/>
          <w:bCs/>
          <w:color w:val="000000"/>
        </w:rPr>
        <w:lastRenderedPageBreak/>
        <w:t>elektromagnetycznego oraz przekroczonego natężenia hałasu. W wyniku przebudowy doszło do zmniejszenia jej oddziaływania i uciążliwości (zmniejszenie gabarytów);</w:t>
      </w:r>
    </w:p>
    <w:p w14:paraId="67FD4CDF" w14:textId="77777777" w:rsidR="00171E71" w:rsidRDefault="00171E71" w:rsidP="00493EAB">
      <w:pPr>
        <w:pStyle w:val="Akapitzlist"/>
        <w:numPr>
          <w:ilvl w:val="0"/>
          <w:numId w:val="5"/>
        </w:numPr>
        <w:jc w:val="both"/>
      </w:pPr>
      <w:r>
        <w:rPr>
          <w:rFonts w:ascii="Times New Roman" w:hAnsi="Times New Roman"/>
          <w:bCs/>
          <w:color w:val="000000"/>
        </w:rPr>
        <w:t xml:space="preserve">skutki spowodowane obowiązkiem udostępnienia nieruchomości w celu wykonania czynności związanych z konserwacją oraz usuwaniem awarii ciągów, przewodów i urządzeń – czynnik ten </w:t>
      </w:r>
      <w:r>
        <w:rPr>
          <w:rFonts w:ascii="Times New Roman" w:hAnsi="Times New Roman"/>
          <w:bCs/>
          <w:color w:val="000000"/>
          <w:u w:val="single"/>
        </w:rPr>
        <w:t xml:space="preserve">występuje, </w:t>
      </w:r>
      <w:r>
        <w:rPr>
          <w:rFonts w:ascii="Times New Roman" w:hAnsi="Times New Roman"/>
          <w:bCs/>
          <w:color w:val="000000"/>
        </w:rPr>
        <w:t>polega na obowiązku udostępnienia w przyszłości nieruchomości w celu wykonania czynności związanych z konserwacją oraz usuwaniem awarii linii energetycznej obciąża nieruchomość, lecz jego skutki są niemożliwe do ustalenia na postawie cen transakcyjnych nieruchomości obciążonych urządzeniami przesyłowymi. W operacie szacunkowym rzeczoznawca wpływ tego czynnika uwzględnił poprzez zastosowanie współczynnika eksperckiego.</w:t>
      </w:r>
    </w:p>
    <w:p w14:paraId="7B7B069C" w14:textId="77777777" w:rsidR="00171E71" w:rsidRDefault="00171E71" w:rsidP="00493EAB">
      <w:pPr>
        <w:pStyle w:val="Standard"/>
        <w:spacing w:line="240" w:lineRule="auto"/>
        <w:jc w:val="both"/>
        <w:rPr>
          <w:rFonts w:ascii="Times New Roman" w:hAnsi="Times New Roman"/>
          <w:b/>
          <w:color w:val="000000"/>
          <w:sz w:val="24"/>
          <w:szCs w:val="24"/>
        </w:rPr>
      </w:pPr>
    </w:p>
    <w:p w14:paraId="39B99BB0" w14:textId="77777777" w:rsidR="00171E71" w:rsidRDefault="00171E71" w:rsidP="00493EAB">
      <w:pPr>
        <w:pStyle w:val="Standard"/>
        <w:spacing w:line="240" w:lineRule="auto"/>
        <w:jc w:val="both"/>
      </w:pPr>
      <w:r>
        <w:rPr>
          <w:rFonts w:ascii="Times New Roman" w:hAnsi="Times New Roman"/>
          <w:b/>
          <w:color w:val="000000"/>
          <w:sz w:val="24"/>
          <w:szCs w:val="24"/>
        </w:rPr>
        <w:t>Określenie współczynnika obniżenia wartości jednostki porównawczej nieruchomości na skutek wydania decyzji nr 20/2020 o ustaleniu lokalizacji inwestycji celu publicznego.</w:t>
      </w:r>
    </w:p>
    <w:p w14:paraId="20968316" w14:textId="77777777" w:rsidR="00171E71" w:rsidRDefault="00171E71" w:rsidP="00493EAB">
      <w:pPr>
        <w:pStyle w:val="Standard"/>
        <w:spacing w:line="240" w:lineRule="auto"/>
        <w:ind w:firstLine="708"/>
        <w:jc w:val="both"/>
      </w:pPr>
      <w:r>
        <w:rPr>
          <w:rFonts w:ascii="Times New Roman" w:hAnsi="Times New Roman"/>
          <w:color w:val="000000"/>
          <w:sz w:val="24"/>
          <w:szCs w:val="24"/>
        </w:rPr>
        <w:t xml:space="preserve">Na skutek wydania decyzji nr 20/2020 z dnia 14.07.2020 r. o ustaleniu lokalizacji inwestycji celu publicznego ustalono na rzecz ENEA Operator Sp. z o.o. z siedziba w Poznaniu lokalizację inwestycji celu publicznego polegającą ba przebudowie elektroenergetycznej linii napowietrznej 110 kV relacji Nowogard – Golczewo. W obszarze objętym inwestycja ustala się zakaz lokalizacji obiektów z pomieszczeniami przeznaczonymi na stały pobyt ludzi. Obowiązuje zakaz lokalizowania jakiejkolwiek zabudowy bezpośrednio pod przewodami napowietrznej linii elektroenergetycznej oraz zakaz utrzymywania zieli wysokiej. W umowach zawieranych przez firmy przebudowujące linie elektroenergetyczne 110 kV z właścicielami gruntów rolnych na ustanowienie służebności przesyłu stosowany jest współczynnik od 0,30 do 0,50 uwzgledniający wpływ szkody lokalizacyjnej w pasie odziaływania linii. W związku z powyższym dla pasa odziaływania linii rzeczoznawca ustalił współczynnik obniżenia wartości nieruchomości z tytułu lokalizacji linii w decyzji o ustaleniu lokalizacji inwestycji celu publicznego na podstawie danych rynkowych w wysokości </w:t>
      </w:r>
      <w:r>
        <w:rPr>
          <w:rFonts w:ascii="Times New Roman" w:hAnsi="Times New Roman"/>
          <w:b/>
          <w:color w:val="000000"/>
          <w:sz w:val="24"/>
          <w:szCs w:val="24"/>
        </w:rPr>
        <w:t>S</w:t>
      </w:r>
      <w:r>
        <w:rPr>
          <w:rFonts w:ascii="Times New Roman" w:hAnsi="Times New Roman"/>
          <w:b/>
          <w:color w:val="000000"/>
          <w:sz w:val="24"/>
          <w:szCs w:val="24"/>
          <w:vertAlign w:val="subscript"/>
        </w:rPr>
        <w:t>L</w:t>
      </w:r>
      <w:r>
        <w:rPr>
          <w:rFonts w:ascii="Times New Roman" w:hAnsi="Times New Roman"/>
          <w:b/>
          <w:color w:val="000000"/>
          <w:sz w:val="24"/>
          <w:szCs w:val="24"/>
        </w:rPr>
        <w:t>=0,30.</w:t>
      </w:r>
      <w:r>
        <w:rPr>
          <w:rFonts w:ascii="Times New Roman" w:hAnsi="Times New Roman"/>
          <w:color w:val="000000"/>
          <w:sz w:val="24"/>
          <w:szCs w:val="24"/>
        </w:rPr>
        <w:t xml:space="preserve">  </w:t>
      </w:r>
    </w:p>
    <w:p w14:paraId="492F95CB" w14:textId="77777777" w:rsidR="00171E71" w:rsidRDefault="00171E71" w:rsidP="00493EAB">
      <w:pPr>
        <w:pStyle w:val="Standard"/>
        <w:spacing w:after="0" w:line="240" w:lineRule="auto"/>
        <w:jc w:val="both"/>
      </w:pPr>
      <w:r>
        <w:rPr>
          <w:rFonts w:ascii="Times New Roman" w:eastAsia="Times New Roman" w:hAnsi="Times New Roman"/>
          <w:b/>
          <w:color w:val="000000"/>
          <w:sz w:val="24"/>
          <w:szCs w:val="24"/>
        </w:rPr>
        <w:t>Współczynnik zmniejszenia wartości nieruchomości - Szp</w:t>
      </w:r>
    </w:p>
    <w:p w14:paraId="41926C6E" w14:textId="77777777" w:rsidR="00171E71" w:rsidRDefault="00171E71" w:rsidP="00493EAB">
      <w:pPr>
        <w:pStyle w:val="Standard"/>
        <w:spacing w:after="0" w:line="240" w:lineRule="auto"/>
        <w:ind w:firstLine="360"/>
        <w:jc w:val="both"/>
      </w:pPr>
      <w:r>
        <w:rPr>
          <w:rFonts w:ascii="Times New Roman" w:eastAsia="Times New Roman" w:hAnsi="Times New Roman"/>
          <w:color w:val="000000"/>
          <w:sz w:val="24"/>
          <w:szCs w:val="24"/>
        </w:rPr>
        <w:t xml:space="preserve">Zmniejszenie wartości nieruchomości wynika z powstania trwałego ograniczenia </w:t>
      </w:r>
      <w:r>
        <w:rPr>
          <w:rFonts w:ascii="Times New Roman" w:eastAsia="Times New Roman" w:hAnsi="Times New Roman"/>
          <w:color w:val="000000"/>
          <w:sz w:val="24"/>
          <w:szCs w:val="24"/>
        </w:rPr>
        <w:br/>
        <w:t>w sposobie korzystania z nieruchomości, które jest związane z:</w:t>
      </w:r>
    </w:p>
    <w:p w14:paraId="29569014" w14:textId="77777777" w:rsidR="00171E71" w:rsidRDefault="00171E71" w:rsidP="00493EAB">
      <w:pPr>
        <w:pStyle w:val="Standard"/>
        <w:numPr>
          <w:ilvl w:val="0"/>
          <w:numId w:val="7"/>
        </w:numPr>
        <w:spacing w:after="0" w:line="240" w:lineRule="auto"/>
        <w:jc w:val="both"/>
      </w:pPr>
      <w:r>
        <w:rPr>
          <w:rFonts w:ascii="Times New Roman" w:eastAsia="Times New Roman" w:hAnsi="Times New Roman"/>
          <w:color w:val="000000"/>
          <w:sz w:val="24"/>
          <w:szCs w:val="24"/>
        </w:rPr>
        <w:t>istnieniem obcego elementu w nieruchomości lub nad nieruchomością;</w:t>
      </w:r>
    </w:p>
    <w:p w14:paraId="78E21A1E" w14:textId="77777777" w:rsidR="00171E71" w:rsidRDefault="00171E71" w:rsidP="00493EAB">
      <w:pPr>
        <w:pStyle w:val="Standard"/>
        <w:numPr>
          <w:ilvl w:val="0"/>
          <w:numId w:val="7"/>
        </w:numPr>
        <w:spacing w:after="0" w:line="240" w:lineRule="auto"/>
        <w:jc w:val="both"/>
      </w:pPr>
      <w:r>
        <w:rPr>
          <w:rFonts w:ascii="Times New Roman" w:eastAsia="Times New Roman" w:hAnsi="Times New Roman"/>
          <w:color w:val="000000"/>
          <w:sz w:val="24"/>
          <w:szCs w:val="24"/>
        </w:rPr>
        <w:t>występowaniem utrudnień przestrzennych w gospodarowaniu, wynikających                               z występowania „świadków” przebiegu infrastruktury;</w:t>
      </w:r>
    </w:p>
    <w:p w14:paraId="1510DC59" w14:textId="77777777" w:rsidR="00171E71" w:rsidRDefault="00171E71" w:rsidP="00493EAB">
      <w:pPr>
        <w:pStyle w:val="Standard"/>
        <w:numPr>
          <w:ilvl w:val="0"/>
          <w:numId w:val="7"/>
        </w:numPr>
        <w:spacing w:after="0" w:line="240" w:lineRule="auto"/>
        <w:jc w:val="both"/>
      </w:pPr>
      <w:r>
        <w:rPr>
          <w:rFonts w:ascii="Times New Roman" w:eastAsia="Times New Roman" w:hAnsi="Times New Roman"/>
          <w:color w:val="000000"/>
          <w:sz w:val="24"/>
          <w:szCs w:val="24"/>
        </w:rPr>
        <w:t>stworzeniem potencjalnego zagrożenia bezpieczeństwa właściciela i jego mienia;</w:t>
      </w:r>
    </w:p>
    <w:p w14:paraId="42E20817" w14:textId="77777777" w:rsidR="00171E71" w:rsidRDefault="00171E71" w:rsidP="00493EAB">
      <w:pPr>
        <w:pStyle w:val="Standard"/>
        <w:numPr>
          <w:ilvl w:val="0"/>
          <w:numId w:val="7"/>
        </w:numPr>
        <w:spacing w:after="0" w:line="240" w:lineRule="auto"/>
        <w:jc w:val="both"/>
      </w:pPr>
      <w:r>
        <w:rPr>
          <w:rFonts w:ascii="Times New Roman" w:eastAsia="Times New Roman" w:hAnsi="Times New Roman"/>
          <w:color w:val="000000"/>
          <w:sz w:val="24"/>
          <w:szCs w:val="24"/>
        </w:rPr>
        <w:t>możliwością wejścia właściciela infrastruktury na nieruchomość w celu konserwacji urządzeń lub usunięcia awarii;</w:t>
      </w:r>
    </w:p>
    <w:p w14:paraId="745D3850" w14:textId="77777777" w:rsidR="00171E71" w:rsidRDefault="00171E71" w:rsidP="00493EAB">
      <w:pPr>
        <w:pStyle w:val="Standard"/>
        <w:numPr>
          <w:ilvl w:val="0"/>
          <w:numId w:val="7"/>
        </w:numPr>
        <w:spacing w:after="0" w:line="240" w:lineRule="auto"/>
        <w:jc w:val="both"/>
      </w:pPr>
      <w:r>
        <w:rPr>
          <w:rFonts w:ascii="Times New Roman" w:eastAsia="Times New Roman" w:hAnsi="Times New Roman"/>
          <w:color w:val="000000"/>
          <w:sz w:val="24"/>
          <w:szCs w:val="24"/>
        </w:rPr>
        <w:t>reglamentacją dotyczącą upraw sadowniczych i sadzenia innych drzew.</w:t>
      </w:r>
    </w:p>
    <w:p w14:paraId="37464CB9" w14:textId="77777777" w:rsidR="00171E71" w:rsidRDefault="00171E71" w:rsidP="00493EAB">
      <w:pPr>
        <w:pStyle w:val="Standard"/>
        <w:spacing w:after="0" w:line="240" w:lineRule="auto"/>
        <w:jc w:val="both"/>
        <w:rPr>
          <w:rFonts w:ascii="Times New Roman" w:eastAsia="Times New Roman" w:hAnsi="Times New Roman"/>
          <w:color w:val="000000"/>
          <w:sz w:val="24"/>
          <w:szCs w:val="24"/>
        </w:rPr>
      </w:pPr>
    </w:p>
    <w:p w14:paraId="1EFA3232" w14:textId="77777777" w:rsidR="00171E71" w:rsidRDefault="00171E71" w:rsidP="00493EAB">
      <w:pPr>
        <w:pStyle w:val="Standard"/>
        <w:spacing w:line="240" w:lineRule="auto"/>
        <w:jc w:val="both"/>
      </w:pPr>
      <w:r>
        <w:rPr>
          <w:rFonts w:ascii="Times New Roman" w:hAnsi="Times New Roman"/>
          <w:color w:val="000000"/>
          <w:sz w:val="24"/>
          <w:szCs w:val="24"/>
        </w:rPr>
        <w:t>Wielkość współczynnika</w:t>
      </w:r>
      <w:r>
        <w:rPr>
          <w:rFonts w:ascii="Times New Roman" w:hAnsi="Times New Roman"/>
          <w:b/>
          <w:color w:val="000000"/>
          <w:sz w:val="24"/>
          <w:szCs w:val="24"/>
        </w:rPr>
        <w:t xml:space="preserve"> Szp</w:t>
      </w:r>
      <w:r>
        <w:rPr>
          <w:rFonts w:ascii="Times New Roman" w:hAnsi="Times New Roman"/>
          <w:color w:val="000000"/>
          <w:sz w:val="24"/>
          <w:szCs w:val="24"/>
        </w:rPr>
        <w:t xml:space="preserve"> została ustalona na podstawie wskazań Tymczasowej Noty Interpretacyjnej ,,Zasady określania wartości szkód spowodowanych budową infrastruktury podziemnej i nadziemnej’’. Wielkość wpływu czynnika nr 4) w operacie szacunkowym określono                   w wysokości </w:t>
      </w:r>
      <w:r>
        <w:rPr>
          <w:rFonts w:ascii="Times New Roman" w:hAnsi="Times New Roman"/>
          <w:b/>
          <w:color w:val="000000"/>
          <w:sz w:val="24"/>
          <w:szCs w:val="24"/>
        </w:rPr>
        <w:t>0,20</w:t>
      </w:r>
      <w:r>
        <w:rPr>
          <w:rFonts w:ascii="Times New Roman" w:hAnsi="Times New Roman"/>
          <w:color w:val="000000"/>
          <w:sz w:val="24"/>
          <w:szCs w:val="24"/>
        </w:rPr>
        <w:t>.</w:t>
      </w:r>
    </w:p>
    <w:p w14:paraId="7F646B99" w14:textId="77777777" w:rsidR="00171E71" w:rsidRDefault="00171E71" w:rsidP="00493EAB">
      <w:pPr>
        <w:pStyle w:val="Standard"/>
        <w:spacing w:after="0" w:line="240" w:lineRule="auto"/>
        <w:jc w:val="center"/>
      </w:pPr>
      <w:r>
        <w:rPr>
          <w:rFonts w:ascii="Times New Roman" w:eastAsia="Times New Roman" w:hAnsi="Times New Roman"/>
          <w:b/>
          <w:color w:val="000000"/>
          <w:sz w:val="24"/>
          <w:szCs w:val="24"/>
        </w:rPr>
        <w:t>Określenie zmniejszenia wartości części nieruchomości numer 836/1, obręb Nowogard - 1</w:t>
      </w:r>
    </w:p>
    <w:p w14:paraId="4A80B8B4" w14:textId="77777777" w:rsidR="00171E71" w:rsidRDefault="00171E71" w:rsidP="00493EAB">
      <w:pPr>
        <w:pStyle w:val="Standard"/>
        <w:spacing w:after="0" w:line="240" w:lineRule="auto"/>
        <w:ind w:firstLine="360"/>
        <w:jc w:val="both"/>
      </w:pPr>
      <w:r>
        <w:rPr>
          <w:rFonts w:ascii="Times New Roman" w:eastAsia="Times New Roman" w:hAnsi="Times New Roman"/>
          <w:color w:val="000000"/>
          <w:sz w:val="24"/>
          <w:szCs w:val="24"/>
        </w:rPr>
        <w:t>Dane wyjściowe:</w:t>
      </w:r>
    </w:p>
    <w:p w14:paraId="473AAF6D" w14:textId="77777777" w:rsidR="00171E71" w:rsidRDefault="00171E71" w:rsidP="00493EAB">
      <w:pPr>
        <w:pStyle w:val="Standard"/>
        <w:spacing w:after="0" w:line="240" w:lineRule="auto"/>
        <w:ind w:firstLine="360"/>
        <w:jc w:val="both"/>
        <w:rPr>
          <w:rFonts w:ascii="Times New Roman" w:eastAsia="Times New Roman" w:hAnsi="Times New Roman"/>
          <w:color w:val="000000"/>
          <w:sz w:val="24"/>
          <w:szCs w:val="24"/>
        </w:rPr>
      </w:pPr>
    </w:p>
    <w:p w14:paraId="3168C0DD" w14:textId="77777777" w:rsidR="00171E71" w:rsidRDefault="00171E71" w:rsidP="00493EAB">
      <w:pPr>
        <w:pStyle w:val="Standard"/>
        <w:spacing w:after="0" w:line="240" w:lineRule="auto"/>
        <w:jc w:val="both"/>
      </w:pPr>
      <w:r>
        <w:rPr>
          <w:rFonts w:ascii="Times New Roman" w:hAnsi="Times New Roman"/>
          <w:b/>
          <w:iCs/>
          <w:sz w:val="24"/>
          <w:szCs w:val="24"/>
        </w:rPr>
        <w:t>Z</w:t>
      </w:r>
      <w:r>
        <w:rPr>
          <w:rFonts w:ascii="Times New Roman" w:hAnsi="Times New Roman"/>
          <w:b/>
          <w:iCs/>
          <w:sz w:val="24"/>
          <w:szCs w:val="24"/>
          <w:vertAlign w:val="subscript"/>
        </w:rPr>
        <w:t xml:space="preserve">W  </w:t>
      </w:r>
      <w:r>
        <w:rPr>
          <w:rFonts w:ascii="Times New Roman" w:hAnsi="Times New Roman"/>
          <w:sz w:val="24"/>
          <w:szCs w:val="24"/>
        </w:rPr>
        <w:t xml:space="preserve">-      </w:t>
      </w:r>
      <w:r>
        <w:rPr>
          <w:rFonts w:ascii="Times New Roman" w:eastAsia="Times New Roman" w:hAnsi="Times New Roman"/>
          <w:iCs/>
          <w:sz w:val="24"/>
          <w:szCs w:val="24"/>
        </w:rPr>
        <w:t>wartość szkody, odpowiadającej zmniejszeniu się wartości nieruchomość</w:t>
      </w:r>
    </w:p>
    <w:p w14:paraId="1ABBB714" w14:textId="77777777" w:rsidR="00171E71" w:rsidRDefault="00171E71" w:rsidP="00493EAB">
      <w:pPr>
        <w:pStyle w:val="Standard"/>
        <w:spacing w:after="0" w:line="240" w:lineRule="auto"/>
      </w:pPr>
      <w:r>
        <w:rPr>
          <w:rFonts w:ascii="Times New Roman" w:eastAsia="Times New Roman" w:hAnsi="Times New Roman"/>
          <w:b/>
          <w:bCs/>
          <w:iCs/>
          <w:color w:val="000000"/>
          <w:sz w:val="24"/>
          <w:szCs w:val="24"/>
        </w:rPr>
        <w:t>W</w:t>
      </w:r>
      <w:r>
        <w:rPr>
          <w:rFonts w:ascii="Times New Roman" w:eastAsia="Times New Roman" w:hAnsi="Times New Roman"/>
          <w:b/>
          <w:bCs/>
          <w:iCs/>
          <w:color w:val="000000"/>
          <w:sz w:val="24"/>
          <w:szCs w:val="24"/>
          <w:vertAlign w:val="subscript"/>
        </w:rPr>
        <w:t xml:space="preserve">11 </w:t>
      </w:r>
      <w:r>
        <w:rPr>
          <w:rFonts w:ascii="Times New Roman" w:eastAsia="Times New Roman" w:hAnsi="Times New Roman"/>
          <w:bCs/>
          <w:iCs/>
          <w:color w:val="000000"/>
          <w:sz w:val="24"/>
          <w:szCs w:val="24"/>
          <w:vertAlign w:val="subscript"/>
        </w:rPr>
        <w:t xml:space="preserve"> </w:t>
      </w:r>
      <w:r>
        <w:rPr>
          <w:rFonts w:ascii="Times New Roman" w:eastAsia="Times New Roman" w:hAnsi="Times New Roman"/>
          <w:b/>
          <w:bCs/>
          <w:iCs/>
          <w:color w:val="000000"/>
          <w:sz w:val="24"/>
          <w:szCs w:val="24"/>
          <w:vertAlign w:val="subscript"/>
        </w:rPr>
        <w:t xml:space="preserve">  </w:t>
      </w:r>
      <w:r>
        <w:rPr>
          <w:rFonts w:ascii="Times New Roman" w:eastAsia="Times New Roman" w:hAnsi="Times New Roman"/>
          <w:iCs/>
          <w:color w:val="000000"/>
          <w:sz w:val="24"/>
          <w:szCs w:val="24"/>
        </w:rPr>
        <w:t>-   jednostkowa</w:t>
      </w:r>
      <w:r>
        <w:rPr>
          <w:rFonts w:ascii="Times New Roman" w:eastAsia="Times New Roman" w:hAnsi="Times New Roman"/>
          <w:iCs/>
          <w:color w:val="000000"/>
          <w:sz w:val="24"/>
          <w:szCs w:val="24"/>
          <w:vertAlign w:val="subscript"/>
        </w:rPr>
        <w:t xml:space="preserve"> </w:t>
      </w:r>
      <w:r>
        <w:rPr>
          <w:rFonts w:ascii="Times New Roman" w:eastAsia="Times New Roman" w:hAnsi="Times New Roman"/>
          <w:iCs/>
          <w:color w:val="000000"/>
          <w:sz w:val="24"/>
          <w:szCs w:val="24"/>
        </w:rPr>
        <w:t xml:space="preserve">wartość rynkowa nieruchomości – </w:t>
      </w:r>
      <w:r w:rsidRPr="00484CE4">
        <w:rPr>
          <w:rFonts w:ascii="Times New Roman" w:eastAsia="Times New Roman" w:hAnsi="Times New Roman"/>
          <w:b/>
          <w:iCs/>
          <w:color w:val="000000"/>
          <w:sz w:val="24"/>
          <w:szCs w:val="24"/>
        </w:rPr>
        <w:t>137,68</w:t>
      </w:r>
      <w:r>
        <w:rPr>
          <w:rFonts w:ascii="Times New Roman" w:eastAsia="Times New Roman" w:hAnsi="Times New Roman"/>
          <w:b/>
          <w:iCs/>
          <w:color w:val="000000"/>
          <w:sz w:val="24"/>
          <w:szCs w:val="24"/>
        </w:rPr>
        <w:t xml:space="preserve"> zł/m</w:t>
      </w:r>
      <w:r>
        <w:rPr>
          <w:rFonts w:ascii="Times New Roman" w:eastAsia="Times New Roman" w:hAnsi="Times New Roman"/>
          <w:b/>
          <w:iCs/>
          <w:color w:val="000000"/>
          <w:sz w:val="24"/>
          <w:szCs w:val="24"/>
          <w:vertAlign w:val="superscript"/>
        </w:rPr>
        <w:t xml:space="preserve">2 </w:t>
      </w:r>
      <w:r>
        <w:rPr>
          <w:rFonts w:ascii="Times New Roman" w:eastAsia="Times New Roman" w:hAnsi="Times New Roman"/>
          <w:b/>
          <w:iCs/>
          <w:color w:val="000000"/>
          <w:sz w:val="24"/>
          <w:szCs w:val="24"/>
        </w:rPr>
        <w:t>;</w:t>
      </w:r>
    </w:p>
    <w:p w14:paraId="2E6B371C" w14:textId="77777777" w:rsidR="00171E71" w:rsidRDefault="00171E71" w:rsidP="00493EAB">
      <w:pPr>
        <w:pStyle w:val="Standard"/>
        <w:spacing w:after="0" w:line="240" w:lineRule="auto"/>
        <w:ind w:left="851" w:hanging="851"/>
      </w:pPr>
      <w:r>
        <w:rPr>
          <w:rFonts w:ascii="Times New Roman" w:eastAsia="Times New Roman" w:hAnsi="Times New Roman"/>
          <w:b/>
          <w:bCs/>
          <w:iCs/>
          <w:color w:val="000000"/>
          <w:sz w:val="24"/>
          <w:szCs w:val="24"/>
        </w:rPr>
        <w:t>P</w:t>
      </w:r>
      <w:r>
        <w:rPr>
          <w:rFonts w:ascii="Times New Roman" w:eastAsia="Times New Roman" w:hAnsi="Times New Roman"/>
          <w:b/>
          <w:bCs/>
          <w:iCs/>
          <w:color w:val="000000"/>
          <w:sz w:val="24"/>
          <w:szCs w:val="24"/>
          <w:vertAlign w:val="subscript"/>
        </w:rPr>
        <w:t xml:space="preserve">SK       </w:t>
      </w:r>
      <w:r>
        <w:rPr>
          <w:rFonts w:ascii="Times New Roman" w:eastAsia="Times New Roman" w:hAnsi="Times New Roman"/>
          <w:b/>
          <w:iCs/>
          <w:color w:val="000000"/>
          <w:sz w:val="24"/>
          <w:szCs w:val="24"/>
        </w:rPr>
        <w:t xml:space="preserve">- </w:t>
      </w:r>
      <w:r>
        <w:rPr>
          <w:rFonts w:ascii="Times New Roman" w:eastAsia="Times New Roman" w:hAnsi="Times New Roman"/>
          <w:iCs/>
          <w:color w:val="000000"/>
          <w:sz w:val="24"/>
          <w:szCs w:val="24"/>
        </w:rPr>
        <w:t xml:space="preserve"> </w:t>
      </w:r>
      <w:r>
        <w:rPr>
          <w:rFonts w:ascii="Times New Roman" w:hAnsi="Times New Roman"/>
          <w:color w:val="000000"/>
          <w:sz w:val="24"/>
          <w:szCs w:val="24"/>
        </w:rPr>
        <w:t xml:space="preserve">powierzchnia pasa ograniczonego sposobu korzystania z nieruchomości,               zamieszczona  w decyzji o ograniczeniu sposobu korzystania z nieruchomości </w:t>
      </w:r>
      <w:r>
        <w:rPr>
          <w:rFonts w:ascii="Times New Roman" w:eastAsia="Times New Roman" w:hAnsi="Times New Roman"/>
          <w:iCs/>
          <w:color w:val="000000"/>
          <w:sz w:val="24"/>
          <w:szCs w:val="24"/>
        </w:rPr>
        <w:t xml:space="preserve">- </w:t>
      </w:r>
      <w:r>
        <w:rPr>
          <w:rFonts w:ascii="Times New Roman" w:eastAsia="Times New Roman" w:hAnsi="Times New Roman"/>
          <w:b/>
          <w:iCs/>
          <w:color w:val="000000"/>
          <w:sz w:val="24"/>
          <w:szCs w:val="24"/>
        </w:rPr>
        <w:t>67 m</w:t>
      </w:r>
      <w:r>
        <w:rPr>
          <w:rFonts w:ascii="Times New Roman" w:eastAsia="Times New Roman" w:hAnsi="Times New Roman"/>
          <w:b/>
          <w:iCs/>
          <w:color w:val="000000"/>
          <w:sz w:val="24"/>
          <w:szCs w:val="24"/>
          <w:vertAlign w:val="superscript"/>
        </w:rPr>
        <w:t>2</w:t>
      </w:r>
      <w:r>
        <w:rPr>
          <w:rFonts w:ascii="Times New Roman" w:eastAsia="Times New Roman" w:hAnsi="Times New Roman"/>
          <w:b/>
          <w:iCs/>
          <w:color w:val="000000"/>
          <w:sz w:val="24"/>
          <w:szCs w:val="24"/>
        </w:rPr>
        <w:t>;</w:t>
      </w:r>
    </w:p>
    <w:p w14:paraId="622DF387" w14:textId="77777777" w:rsidR="00171E71" w:rsidRDefault="00171E71" w:rsidP="00493EAB">
      <w:pPr>
        <w:pStyle w:val="Standard"/>
        <w:spacing w:after="0" w:line="240" w:lineRule="auto"/>
        <w:ind w:left="851" w:hanging="851"/>
      </w:pPr>
      <w:r>
        <w:rPr>
          <w:rFonts w:ascii="Times New Roman" w:hAnsi="Times New Roman"/>
          <w:b/>
          <w:color w:val="000000"/>
          <w:sz w:val="24"/>
          <w:szCs w:val="24"/>
        </w:rPr>
        <w:t>S</w:t>
      </w:r>
      <w:r>
        <w:rPr>
          <w:rFonts w:ascii="Times New Roman" w:hAnsi="Times New Roman"/>
          <w:b/>
          <w:color w:val="000000"/>
          <w:sz w:val="24"/>
          <w:szCs w:val="24"/>
          <w:vertAlign w:val="subscript"/>
        </w:rPr>
        <w:t xml:space="preserve">ZP        –   </w:t>
      </w:r>
      <w:r>
        <w:rPr>
          <w:rFonts w:ascii="Times New Roman" w:hAnsi="Times New Roman"/>
          <w:color w:val="000000"/>
          <w:sz w:val="24"/>
          <w:szCs w:val="24"/>
        </w:rPr>
        <w:t>współczynnik obniżenia wartości nieruchomości w pasie ograniczonego sposobu korzystania na skutek budowy</w:t>
      </w:r>
      <w:r>
        <w:rPr>
          <w:rFonts w:ascii="Times New Roman" w:hAnsi="Times New Roman"/>
          <w:i/>
          <w:color w:val="000000"/>
          <w:sz w:val="24"/>
          <w:szCs w:val="24"/>
        </w:rPr>
        <w:t xml:space="preserve"> - </w:t>
      </w:r>
      <w:r>
        <w:rPr>
          <w:rFonts w:ascii="Times New Roman" w:hAnsi="Times New Roman"/>
          <w:b/>
          <w:color w:val="000000"/>
          <w:sz w:val="24"/>
          <w:szCs w:val="24"/>
        </w:rPr>
        <w:t>0,20;</w:t>
      </w:r>
    </w:p>
    <w:p w14:paraId="17E47164" w14:textId="77777777" w:rsidR="00171E71" w:rsidRDefault="00171E71" w:rsidP="00493EAB">
      <w:pPr>
        <w:pStyle w:val="Standard"/>
        <w:spacing w:after="0" w:line="240" w:lineRule="auto"/>
        <w:ind w:left="851" w:hanging="851"/>
      </w:pPr>
      <w:r>
        <w:rPr>
          <w:rFonts w:ascii="Times New Roman" w:hAnsi="Times New Roman"/>
          <w:b/>
          <w:i/>
          <w:iCs/>
          <w:color w:val="000000"/>
          <w:sz w:val="24"/>
          <w:szCs w:val="24"/>
        </w:rPr>
        <w:lastRenderedPageBreak/>
        <w:t>S</w:t>
      </w:r>
      <w:r>
        <w:rPr>
          <w:rFonts w:ascii="Times New Roman" w:hAnsi="Times New Roman"/>
          <w:b/>
          <w:i/>
          <w:iCs/>
          <w:color w:val="000000"/>
          <w:sz w:val="24"/>
          <w:szCs w:val="24"/>
          <w:vertAlign w:val="subscript"/>
        </w:rPr>
        <w:t xml:space="preserve">L   </w:t>
      </w:r>
      <w:r>
        <w:rPr>
          <w:rFonts w:ascii="Times New Roman" w:hAnsi="Times New Roman"/>
          <w:color w:val="000000"/>
          <w:sz w:val="24"/>
          <w:szCs w:val="24"/>
        </w:rPr>
        <w:t xml:space="preserve">–      współczynnik obniżenia wartości nieruchomości na skutek prawnej lokalizacji   urządzenia przesyłowego  w dokumentacji planistycznej – </w:t>
      </w:r>
      <w:r>
        <w:rPr>
          <w:rFonts w:ascii="Times New Roman" w:hAnsi="Times New Roman"/>
          <w:b/>
          <w:color w:val="000000"/>
          <w:sz w:val="24"/>
          <w:szCs w:val="24"/>
        </w:rPr>
        <w:t>0,30.</w:t>
      </w:r>
    </w:p>
    <w:p w14:paraId="31DEB9A8" w14:textId="77777777" w:rsidR="00171E71" w:rsidRDefault="00171E71" w:rsidP="00493EAB">
      <w:pPr>
        <w:pStyle w:val="Standard"/>
        <w:spacing w:after="0" w:line="240" w:lineRule="auto"/>
        <w:ind w:firstLine="360"/>
        <w:rPr>
          <w:rFonts w:ascii="Times New Roman" w:eastAsia="Times New Roman" w:hAnsi="Times New Roman"/>
          <w:b/>
          <w:i/>
          <w:iCs/>
          <w:color w:val="000000"/>
          <w:sz w:val="24"/>
          <w:szCs w:val="24"/>
        </w:rPr>
      </w:pPr>
    </w:p>
    <w:p w14:paraId="488541F0" w14:textId="77777777" w:rsidR="00171E71" w:rsidRDefault="00171E71" w:rsidP="00493EAB">
      <w:pPr>
        <w:pStyle w:val="Standard"/>
        <w:spacing w:after="0" w:line="240" w:lineRule="auto"/>
        <w:ind w:firstLine="360"/>
        <w:jc w:val="center"/>
      </w:pPr>
      <w:r>
        <w:rPr>
          <w:rFonts w:ascii="Times New Roman" w:eastAsia="Times New Roman" w:hAnsi="Times New Roman"/>
          <w:b/>
          <w:bCs/>
          <w:color w:val="000000"/>
          <w:sz w:val="24"/>
          <w:szCs w:val="24"/>
        </w:rPr>
        <w:t>Z</w:t>
      </w:r>
      <w:r>
        <w:rPr>
          <w:rFonts w:ascii="Times New Roman" w:eastAsia="Times New Roman" w:hAnsi="Times New Roman"/>
          <w:b/>
          <w:bCs/>
          <w:color w:val="000000"/>
          <w:sz w:val="24"/>
          <w:szCs w:val="24"/>
          <w:vertAlign w:val="subscript"/>
        </w:rPr>
        <w:t xml:space="preserve">W </w:t>
      </w:r>
      <w:r>
        <w:rPr>
          <w:rFonts w:ascii="Times New Roman" w:eastAsia="Times New Roman" w:hAnsi="Times New Roman"/>
          <w:b/>
          <w:bCs/>
          <w:color w:val="000000"/>
          <w:sz w:val="24"/>
          <w:szCs w:val="24"/>
        </w:rPr>
        <w:t xml:space="preserve">= </w:t>
      </w:r>
      <w:bookmarkStart w:id="2" w:name="_Hlk109804368"/>
      <w:r>
        <w:rPr>
          <w:rFonts w:ascii="Times New Roman" w:eastAsia="Times New Roman" w:hAnsi="Times New Roman"/>
          <w:b/>
          <w:bCs/>
          <w:color w:val="000000"/>
          <w:sz w:val="24"/>
          <w:szCs w:val="24"/>
        </w:rPr>
        <w:t>67</w:t>
      </w:r>
      <w:r>
        <w:rPr>
          <w:rFonts w:ascii="Times New Roman" w:eastAsia="Times New Roman" w:hAnsi="Times New Roman"/>
          <w:b/>
          <w:color w:val="000000"/>
          <w:sz w:val="24"/>
          <w:szCs w:val="24"/>
        </w:rPr>
        <w:t xml:space="preserve"> </w:t>
      </w:r>
      <m:oMath>
        <m:r>
          <w:rPr>
            <w:rFonts w:ascii="Cambria Math" w:hAnsi="Cambria Math"/>
          </w:rPr>
          <m:t>×</m:t>
        </m:r>
      </m:oMath>
      <w:bookmarkEnd w:id="2"/>
      <w:r>
        <w:rPr>
          <w:rFonts w:ascii="Times New Roman" w:eastAsia="Times New Roman" w:hAnsi="Times New Roman"/>
          <w:b/>
          <w:bCs/>
          <w:color w:val="000000"/>
          <w:sz w:val="24"/>
          <w:szCs w:val="24"/>
        </w:rPr>
        <w:t xml:space="preserve">  (1 – 0,30) x 137,68 </w:t>
      </w:r>
      <m:oMath>
        <m:r>
          <w:rPr>
            <w:rFonts w:ascii="Cambria Math" w:hAnsi="Cambria Math"/>
          </w:rPr>
          <m:t>×</m:t>
        </m:r>
      </m:oMath>
      <w:r>
        <w:rPr>
          <w:rFonts w:ascii="Times New Roman" w:eastAsia="Times New Roman" w:hAnsi="Times New Roman"/>
          <w:b/>
          <w:bCs/>
          <w:sz w:val="24"/>
          <w:szCs w:val="24"/>
        </w:rPr>
        <w:t xml:space="preserve">  </w:t>
      </w:r>
      <w:r>
        <w:rPr>
          <w:rFonts w:ascii="Times New Roman" w:eastAsia="Times New Roman" w:hAnsi="Times New Roman"/>
          <w:b/>
          <w:sz w:val="24"/>
          <w:szCs w:val="24"/>
        </w:rPr>
        <w:t>0,20</w:t>
      </w:r>
      <w:r>
        <w:rPr>
          <w:rFonts w:ascii="Times New Roman" w:eastAsia="Times New Roman" w:hAnsi="Times New Roman"/>
          <w:b/>
          <w:bCs/>
          <w:sz w:val="24"/>
          <w:szCs w:val="24"/>
        </w:rPr>
        <w:t>= 1.291,44 zł przyjęto 1.291,00 zł</w:t>
      </w:r>
    </w:p>
    <w:p w14:paraId="3B3F8135" w14:textId="77777777" w:rsidR="00171E71" w:rsidRDefault="00171E71" w:rsidP="00493EAB">
      <w:pPr>
        <w:pStyle w:val="Standard"/>
        <w:spacing w:after="0" w:line="240" w:lineRule="auto"/>
        <w:ind w:firstLine="360"/>
        <w:rPr>
          <w:rFonts w:ascii="Times New Roman" w:eastAsia="Times New Roman" w:hAnsi="Times New Roman"/>
          <w:b/>
          <w:bCs/>
          <w:sz w:val="24"/>
          <w:szCs w:val="24"/>
        </w:rPr>
      </w:pPr>
    </w:p>
    <w:p w14:paraId="0E4CB31C" w14:textId="77777777" w:rsidR="00171E71" w:rsidRDefault="00171E71" w:rsidP="00493EAB">
      <w:pPr>
        <w:pStyle w:val="Standard"/>
        <w:spacing w:after="0" w:line="240" w:lineRule="auto"/>
        <w:ind w:firstLine="360"/>
        <w:jc w:val="both"/>
      </w:pPr>
      <w:r>
        <w:rPr>
          <w:rFonts w:ascii="Times New Roman" w:eastAsia="Times New Roman" w:hAnsi="Times New Roman"/>
          <w:bCs/>
          <w:sz w:val="24"/>
          <w:szCs w:val="24"/>
        </w:rPr>
        <w:t>Określona wartość zmniejszenia wartości nieruchomości na skutek ograniczenia sposobu korzystania z nieruchomości poprzez zezwolenie na założenie i przeprowadzenie odcinka napowietrznej jednotorowej linii elektroenergetycznej 110 kV relacji Nowogard – Golczewo na działce 836/1, obręb Nowogard 1, gmina Nowogard, powiat goleniowski, województwo zachodniopomorskie wynosi:</w:t>
      </w:r>
    </w:p>
    <w:p w14:paraId="2F7FFF62" w14:textId="77777777" w:rsidR="00171E71" w:rsidRDefault="00171E71" w:rsidP="00493EAB">
      <w:pPr>
        <w:pStyle w:val="Standard"/>
        <w:spacing w:after="0" w:line="240" w:lineRule="auto"/>
        <w:ind w:left="714"/>
        <w:jc w:val="center"/>
      </w:pPr>
      <w:r>
        <w:rPr>
          <w:rFonts w:ascii="Times New Roman" w:eastAsia="Times New Roman" w:hAnsi="Times New Roman"/>
          <w:b/>
          <w:bCs/>
          <w:sz w:val="28"/>
          <w:szCs w:val="28"/>
        </w:rPr>
        <w:t>1.291,00 złotych</w:t>
      </w:r>
    </w:p>
    <w:p w14:paraId="5C750DA5" w14:textId="77777777" w:rsidR="00171E71" w:rsidRDefault="00171E71" w:rsidP="00493EAB">
      <w:pPr>
        <w:pStyle w:val="Standard"/>
        <w:spacing w:after="0" w:line="240" w:lineRule="auto"/>
        <w:ind w:left="714"/>
        <w:jc w:val="center"/>
      </w:pPr>
      <w:r>
        <w:rPr>
          <w:rFonts w:ascii="Times New Roman" w:eastAsia="Times New Roman" w:hAnsi="Times New Roman"/>
          <w:i/>
          <w:iCs/>
          <w:sz w:val="24"/>
          <w:szCs w:val="24"/>
        </w:rPr>
        <w:t>(słownie: jeden tysiąc dwieście dziewięćdziesiąt jeden złotych 00/100),</w:t>
      </w:r>
    </w:p>
    <w:p w14:paraId="119951E1" w14:textId="77777777" w:rsidR="00171E71" w:rsidRDefault="00171E71" w:rsidP="00493EAB">
      <w:pPr>
        <w:pStyle w:val="Standard"/>
        <w:spacing w:line="240" w:lineRule="auto"/>
        <w:ind w:firstLine="360"/>
        <w:jc w:val="both"/>
        <w:rPr>
          <w:rFonts w:ascii="Times New Roman" w:hAnsi="Times New Roman"/>
          <w:b/>
          <w:sz w:val="24"/>
          <w:szCs w:val="24"/>
        </w:rPr>
      </w:pPr>
    </w:p>
    <w:p w14:paraId="41E6DD89" w14:textId="77777777" w:rsidR="00171E71" w:rsidRDefault="00171E71" w:rsidP="00493EAB">
      <w:pPr>
        <w:pStyle w:val="Standard"/>
        <w:tabs>
          <w:tab w:val="left" w:pos="851"/>
        </w:tabs>
        <w:spacing w:line="240" w:lineRule="auto"/>
        <w:jc w:val="both"/>
      </w:pPr>
      <w:bookmarkStart w:id="3" w:name="Bookmark2"/>
      <w:r>
        <w:rPr>
          <w:rFonts w:ascii="Times New Roman" w:hAnsi="Times New Roman"/>
          <w:color w:val="000000"/>
          <w:sz w:val="24"/>
          <w:szCs w:val="24"/>
        </w:rPr>
        <w:t>Wartość do celów odszkodowania została oszacowana z uwzględnieniem wartości rynkowej gruntu ograniczonego w sposobie korzystania nieruchomości dla stanu na dzień wydania decyzji i na dzień zakończenia działań uzasadniających wydanie tej decyzji oraz poziomu cen na dzień wyceny. Określone zmniejszenie wartości nieruchomości w wysokości 1.291,00 zł jest adekwatne do faktycznego obciążenia nieruchomości posadowieniem linii elektroenergetycznej podczas jej budowy. Określone zmniejszenie wartości nieruchomości w związku z ograniczeniem sposobu korzystania z niej stanowi rekompensatę za szkodę trwałą, która wystąpiła na skutek przebudowy jednotorowej napowietrznej linii elektroenergetycznej 110 kV relacji Nowogard – Golczewo.</w:t>
      </w:r>
    </w:p>
    <w:p w14:paraId="50CD9E78" w14:textId="77777777" w:rsidR="00171E71" w:rsidRDefault="00171E71" w:rsidP="00493EAB">
      <w:pPr>
        <w:pStyle w:val="Standard"/>
        <w:tabs>
          <w:tab w:val="left" w:pos="851"/>
        </w:tabs>
        <w:spacing w:line="240" w:lineRule="auto"/>
        <w:jc w:val="both"/>
      </w:pPr>
      <w:r>
        <w:rPr>
          <w:rFonts w:ascii="Times New Roman" w:hAnsi="Times New Roman"/>
          <w:color w:val="000000"/>
          <w:sz w:val="24"/>
          <w:szCs w:val="24"/>
        </w:rPr>
        <w:t>Zgodnie z wyrokiem wydanym przez Naczelny Sąd Administracyjny z dnia 25 lutego 2009 r. w sprawie I OSK 460/08:</w:t>
      </w:r>
      <w:r w:rsidRPr="00A212F3">
        <w:rPr>
          <w:rFonts w:ascii="Times New Roman" w:hAnsi="Times New Roman"/>
          <w:color w:val="000000"/>
          <w:sz w:val="24"/>
          <w:szCs w:val="24"/>
        </w:rPr>
        <w:t xml:space="preserve"> </w:t>
      </w:r>
      <w:r>
        <w:rPr>
          <w:rFonts w:ascii="Times New Roman" w:hAnsi="Times New Roman"/>
          <w:color w:val="000000"/>
          <w:sz w:val="24"/>
          <w:szCs w:val="24"/>
        </w:rPr>
        <w:t>Użyty w omawianej ustawie termin ,,odszkodowanie’’ jest tylko językowo zbieżny                        z takim samym określeniem z Kodeksu cywilnego. Wszelkie kwestie związane ze sposobem ustalenia wysokości przedmiotowego odszkodowania zostały wyczerpująco unormowane w rozdziale V dział III ustawy o gospodarce nieruchomościami. Regulacja tam zawarta nie przewiduje żadnego odesłania do odpowiedniego stosowania przepisów Kodeksu cywilnego i nie daje podstaw, wbrew twierdzeniem Sądu I instancji, do stosowania w drodze analogii rozwiązań cywilnoprawnych do instytucja prawa administracyjnego.</w:t>
      </w:r>
    </w:p>
    <w:p w14:paraId="7B45494B" w14:textId="77777777" w:rsidR="00171E71" w:rsidRDefault="00171E71" w:rsidP="00493EAB">
      <w:pPr>
        <w:pStyle w:val="Standard"/>
        <w:tabs>
          <w:tab w:val="left" w:pos="851"/>
        </w:tabs>
        <w:spacing w:line="240" w:lineRule="auto"/>
        <w:jc w:val="both"/>
      </w:pPr>
      <w:r>
        <w:rPr>
          <w:rFonts w:ascii="Times New Roman" w:hAnsi="Times New Roman"/>
          <w:color w:val="000000"/>
          <w:sz w:val="24"/>
          <w:szCs w:val="24"/>
        </w:rPr>
        <w:tab/>
        <w:t>Uszczerbek majątkowy (szkoda), jakiego doznaje właściciel na skutek ograniczenia jego prawa własności w tryb art. 124 ugn, jest wynikiem legalnego działania administracji, co w sposób oczywisty różni omawiane odszkodowanie od odszkodowania funkcjonującego w prawie cywilnym. Przy jego ustaleniu nie można wykraczać poza ramy określone w ustawie o gospodarce nieruchomościami i posiłkować się przepisami Kodeksu cywilnego.</w:t>
      </w:r>
    </w:p>
    <w:p w14:paraId="2C19AB13" w14:textId="77777777" w:rsidR="00171E71" w:rsidRDefault="00171E71" w:rsidP="00493EAB">
      <w:pPr>
        <w:pStyle w:val="Standard"/>
        <w:tabs>
          <w:tab w:val="left" w:pos="851"/>
        </w:tabs>
        <w:spacing w:line="240" w:lineRule="auto"/>
        <w:jc w:val="both"/>
      </w:pPr>
      <w:r>
        <w:rPr>
          <w:rFonts w:ascii="Times New Roman" w:hAnsi="Times New Roman"/>
          <w:color w:val="000000"/>
          <w:sz w:val="24"/>
          <w:szCs w:val="24"/>
        </w:rPr>
        <w:tab/>
        <w:t>Wskazać także wypada, że zakres odpowiedzialności odszkodowawczej za ograniczenie korzystania z nieruchomości, który wynika z zasady określonej w art. 128 ust. 4 powołanej ustawy o gospodarce nieruchomościami i wszelkie późniejsze rozważania dotyczące ustalenia wysokości odszkodowania, nie zawierają odniesienia do przepisów Kodeksu cywilnego.</w:t>
      </w:r>
    </w:p>
    <w:p w14:paraId="6FC4AFDF"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 xml:space="preserve">Organ nie ma wątpliwości, że do porównań zostały wybrane transakcje odpowiadające przepisowi § 36 ust. 4 rozporządzeniu Rady Ministrów z dnia 21 września 2004 r. </w:t>
      </w:r>
      <w:r>
        <w:rPr>
          <w:rFonts w:ascii="Times New Roman" w:eastAsia="Times New Roman" w:hAnsi="Times New Roman"/>
          <w:i/>
          <w:iCs/>
          <w:color w:val="000000"/>
          <w:sz w:val="24"/>
          <w:szCs w:val="24"/>
        </w:rPr>
        <w:t xml:space="preserve">w sprawie wyceny nieruchomości i sporządzania operatu szacunkowego, </w:t>
      </w:r>
      <w:r>
        <w:rPr>
          <w:rFonts w:ascii="Times New Roman" w:eastAsia="Times New Roman" w:hAnsi="Times New Roman"/>
          <w:color w:val="000000"/>
          <w:sz w:val="24"/>
          <w:szCs w:val="24"/>
        </w:rPr>
        <w:t xml:space="preserve">a nieruchomości porównawcze spełniają kryteria podobieństwa, o których mowa w art. 4 pkt 16 ustawy </w:t>
      </w:r>
      <w:r>
        <w:rPr>
          <w:rFonts w:ascii="Times New Roman" w:eastAsia="Times New Roman" w:hAnsi="Times New Roman"/>
          <w:i/>
          <w:iCs/>
          <w:color w:val="000000"/>
          <w:sz w:val="24"/>
          <w:szCs w:val="24"/>
        </w:rPr>
        <w:t>o gospodarce nieruchomościami</w:t>
      </w:r>
      <w:r>
        <w:rPr>
          <w:rFonts w:ascii="Times New Roman" w:eastAsia="Times New Roman" w:hAnsi="Times New Roman"/>
          <w:color w:val="000000"/>
          <w:sz w:val="24"/>
          <w:szCs w:val="24"/>
        </w:rPr>
        <w:t>.</w:t>
      </w:r>
    </w:p>
    <w:p w14:paraId="679BF226"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Operat szacunkowy zawiera w swej treści informacje niezbędne przy dokonywaniu wyceny nieruchomości tj. wskazanie podstawy prawnej i uwarunkowań dokonywanych czynności, rozwiązań merytorycznych, przedstawień toku obliczeń oraz wyniku końcowego (wymagane przepisami § 55 ust. 2 wyżej cytowanego rozporządzenia). Ponadto zawiera w swej treści wszystkie informacje nakazane przepisami § 56 ww. rozporządzenia. </w:t>
      </w:r>
    </w:p>
    <w:p w14:paraId="64A58A9F"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lastRenderedPageBreak/>
        <w:t>Po analizie przedłożonego przez rzeczoznawcę majątkowego operatu szacunkowego, stwierdzono, że operat szacunkowy czyni zadość powołanym wyżej przepisom. Omawiana opinia jest spójna, logiczna i wiarygodna. Zastosowano w nim właściwe podejście (zgodne z celem wyceny) oraz metodę pozwalająca na ustalenie wartości rynkowej nieruchomości na potrzeby określenia wysokości odszkodowania za wywłaszczenie nieruchomości.</w:t>
      </w:r>
    </w:p>
    <w:p w14:paraId="3DC3E867"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Mając na uwadze powyższe organ przyjął ww. operat, jako dowód w sprawie i na jego podstawie ustalił odszkodowanie.</w:t>
      </w:r>
    </w:p>
    <w:p w14:paraId="1FB78DD0"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 xml:space="preserve">Termin zapłaty odszkodowania reguluje art. 132 ust. 1a cytowanej wyżej ustawy. </w:t>
      </w:r>
      <w:r>
        <w:rPr>
          <w:rFonts w:ascii="Times New Roman" w:eastAsia="Times New Roman" w:hAnsi="Times New Roman"/>
          <w:color w:val="000000"/>
          <w:sz w:val="24"/>
          <w:szCs w:val="24"/>
        </w:rPr>
        <w:br/>
        <w:t>W myśl tego przepisu, w sprawach, w których wydano odrębną decyzję o odszkodowaniu, zapłata odszkodowania następuje jednorazowo w terminie 14 dni od dnia, w którym decyzja                                        o odszkodowaniu stała się ostateczna</w:t>
      </w:r>
    </w:p>
    <w:p w14:paraId="5FC82899"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 xml:space="preserve">W tym miejscu wskazać należy, iż zgodnie z art. 132 ust. 6 ustawy z dnia 21 sierpnia 1997 roku </w:t>
      </w:r>
      <w:r>
        <w:rPr>
          <w:rFonts w:ascii="Times New Roman" w:eastAsia="Times New Roman" w:hAnsi="Times New Roman"/>
          <w:i/>
          <w:iCs/>
          <w:color w:val="000000"/>
          <w:sz w:val="24"/>
          <w:szCs w:val="24"/>
        </w:rPr>
        <w:t xml:space="preserve">o gospodarce nieruchomościami </w:t>
      </w:r>
      <w:r>
        <w:rPr>
          <w:rFonts w:ascii="Times New Roman" w:eastAsia="Times New Roman" w:hAnsi="Times New Roman"/>
          <w:b/>
          <w:bCs/>
          <w:color w:val="000000"/>
          <w:sz w:val="24"/>
          <w:szCs w:val="24"/>
        </w:rPr>
        <w:t>obowiązek zapłaty odszkodowania</w:t>
      </w:r>
      <w:r>
        <w:rPr>
          <w:rFonts w:ascii="Times New Roman" w:eastAsia="Times New Roman" w:hAnsi="Times New Roman"/>
          <w:color w:val="000000"/>
          <w:sz w:val="24"/>
          <w:szCs w:val="24"/>
        </w:rPr>
        <w:t xml:space="preserve"> za szkody powstałe wskutek zdarzeń, o których mowa w art. 124-126 oraz za zmniejszenie wartości nieruchomości z tego powodu </w:t>
      </w:r>
      <w:r>
        <w:rPr>
          <w:rFonts w:ascii="Times New Roman" w:eastAsia="Times New Roman" w:hAnsi="Times New Roman"/>
          <w:b/>
          <w:bCs/>
          <w:color w:val="000000"/>
          <w:sz w:val="24"/>
          <w:szCs w:val="24"/>
        </w:rPr>
        <w:t>obciąża osobę lub jednostkę organizacyjną, która uzyskała zezwolenie</w:t>
      </w:r>
      <w:r>
        <w:rPr>
          <w:rFonts w:ascii="Times New Roman" w:eastAsia="Times New Roman" w:hAnsi="Times New Roman"/>
          <w:color w:val="000000"/>
          <w:sz w:val="24"/>
          <w:szCs w:val="24"/>
        </w:rPr>
        <w:t xml:space="preserve"> odpowiednio na założenie lub przeprowadzenie ciągów drenażowych, przewodów i urządzeń,</w:t>
      </w:r>
    </w:p>
    <w:p w14:paraId="1CCA4CBA" w14:textId="77777777" w:rsidR="00171E71" w:rsidRDefault="00171E71" w:rsidP="00493EAB">
      <w:pPr>
        <w:pStyle w:val="Standard"/>
        <w:spacing w:after="0" w:line="240" w:lineRule="auto"/>
        <w:jc w:val="both"/>
      </w:pPr>
      <w:r>
        <w:rPr>
          <w:rFonts w:ascii="Times New Roman" w:eastAsia="Times New Roman" w:hAnsi="Times New Roman"/>
          <w:color w:val="000000"/>
          <w:sz w:val="24"/>
          <w:szCs w:val="24"/>
        </w:rPr>
        <w:t>o którym mowa w art. 124 ust. 1. </w:t>
      </w:r>
    </w:p>
    <w:p w14:paraId="17EE3891" w14:textId="77777777" w:rsidR="00171E71" w:rsidRDefault="00171E71" w:rsidP="00493EAB">
      <w:pPr>
        <w:pStyle w:val="Standard"/>
        <w:spacing w:after="0" w:line="240" w:lineRule="auto"/>
        <w:ind w:firstLine="680"/>
        <w:jc w:val="both"/>
      </w:pPr>
      <w:r>
        <w:rPr>
          <w:rFonts w:ascii="Times New Roman" w:eastAsia="Times New Roman" w:hAnsi="Times New Roman"/>
          <w:color w:val="000000"/>
          <w:sz w:val="24"/>
          <w:szCs w:val="24"/>
        </w:rPr>
        <w:t>Zgodnie z powołanymi przepisami zobowiązanym do zapłaty odszkodowania w wyniku ograniczenia sposobu korzystania wskutek wydania decyzji Starosty Goleniowskiego z dnia 20 grudnia 2021 r., WGN.6853.42.2021.MWR jest ENEA Operator Sp. z o.o. z siedzibą w Poznaniu.</w:t>
      </w:r>
    </w:p>
    <w:p w14:paraId="28FCC09C" w14:textId="77777777" w:rsidR="00171E71" w:rsidRDefault="00171E71" w:rsidP="00493EAB">
      <w:pPr>
        <w:pStyle w:val="Standard"/>
        <w:spacing w:after="0" w:line="240" w:lineRule="auto"/>
        <w:ind w:firstLine="68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Z zapisów artykułu 124 ust. 1, ust. 3, ust. 5, ust. 6 ustawy </w:t>
      </w:r>
      <w:r>
        <w:rPr>
          <w:rFonts w:ascii="Times New Roman" w:eastAsia="Times New Roman" w:hAnsi="Times New Roman"/>
          <w:i/>
          <w:iCs/>
          <w:color w:val="000000"/>
          <w:sz w:val="24"/>
          <w:szCs w:val="24"/>
        </w:rPr>
        <w:t>o gospodarce nieruchomościami</w:t>
      </w:r>
      <w:r>
        <w:rPr>
          <w:rFonts w:ascii="Times New Roman" w:eastAsia="Times New Roman" w:hAnsi="Times New Roman"/>
          <w:color w:val="000000"/>
          <w:sz w:val="24"/>
          <w:szCs w:val="24"/>
        </w:rPr>
        <w:t xml:space="preserve"> wywnioskować trzeba, że </w:t>
      </w:r>
      <w:r>
        <w:rPr>
          <w:rFonts w:ascii="Times New Roman" w:eastAsia="Times New Roman" w:hAnsi="Times New Roman"/>
          <w:b/>
          <w:bCs/>
          <w:color w:val="000000"/>
          <w:sz w:val="24"/>
          <w:szCs w:val="24"/>
        </w:rPr>
        <w:t>odszkodowanie należy się właścicielowi</w:t>
      </w:r>
      <w:r>
        <w:rPr>
          <w:rFonts w:ascii="Times New Roman" w:eastAsia="Times New Roman" w:hAnsi="Times New Roman"/>
          <w:color w:val="000000"/>
          <w:sz w:val="24"/>
          <w:szCs w:val="24"/>
        </w:rPr>
        <w:t xml:space="preserve"> nieruchomości lub użytkownikowi wieczystemu. </w:t>
      </w:r>
    </w:p>
    <w:p w14:paraId="0375E16A" w14:textId="77777777" w:rsidR="00171E71" w:rsidRDefault="00171E71" w:rsidP="00493EAB">
      <w:pPr>
        <w:spacing w:after="0" w:line="240" w:lineRule="auto"/>
        <w:ind w:firstLine="680"/>
        <w:jc w:val="both"/>
        <w:rPr>
          <w:rFonts w:ascii="Times New Roman" w:eastAsia="Times New Roman" w:hAnsi="Times New Roman"/>
          <w:color w:val="000000"/>
          <w:sz w:val="24"/>
          <w:szCs w:val="24"/>
        </w:rPr>
      </w:pPr>
      <w:r w:rsidRPr="00DD5C85">
        <w:rPr>
          <w:rFonts w:ascii="Times New Roman" w:eastAsia="Times New Roman" w:hAnsi="Times New Roman"/>
          <w:color w:val="000000"/>
          <w:sz w:val="24"/>
          <w:szCs w:val="24"/>
        </w:rPr>
        <w:t>Z</w:t>
      </w:r>
      <w:r w:rsidRPr="00DD5C85">
        <w:rPr>
          <w:rFonts w:ascii="Times New Roman" w:eastAsia="Times New Roman" w:hAnsi="Times New Roman" w:cs="Times New Roman"/>
          <w:color w:val="000000"/>
          <w:sz w:val="24"/>
          <w:szCs w:val="24"/>
          <w:lang w:eastAsia="pl-PL"/>
        </w:rPr>
        <w:t xml:space="preserve">godnie z zapisami księgi </w:t>
      </w:r>
      <w:r w:rsidRPr="00DD5C85">
        <w:rPr>
          <w:rFonts w:ascii="Times New Roman" w:eastAsia="Times New Roman" w:hAnsi="Times New Roman"/>
          <w:color w:val="000000"/>
          <w:sz w:val="24"/>
          <w:szCs w:val="24"/>
        </w:rPr>
        <w:t xml:space="preserve">wieczystej numer </w:t>
      </w:r>
      <w:r w:rsidRPr="00171E71">
        <w:rPr>
          <w:rFonts w:ascii="Times New Roman" w:eastAsia="Times New Roman" w:hAnsi="Times New Roman"/>
          <w:color w:val="000000"/>
          <w:sz w:val="24"/>
          <w:szCs w:val="24"/>
          <w:highlight w:val="black"/>
        </w:rPr>
        <w:t>SZ1O/00026849/0</w:t>
      </w:r>
      <w:r w:rsidRPr="00171E71">
        <w:rPr>
          <w:rFonts w:ascii="Times New Roman" w:eastAsia="Times New Roman" w:hAnsi="Times New Roman" w:cs="Times New Roman"/>
          <w:color w:val="000000"/>
          <w:sz w:val="24"/>
          <w:szCs w:val="24"/>
          <w:highlight w:val="black"/>
          <w:lang w:eastAsia="pl-PL"/>
        </w:rPr>
        <w:t>,</w:t>
      </w:r>
      <w:r>
        <w:rPr>
          <w:rFonts w:ascii="Times New Roman" w:eastAsia="Times New Roman" w:hAnsi="Times New Roman" w:cs="Times New Roman"/>
          <w:color w:val="000000"/>
          <w:sz w:val="24"/>
          <w:szCs w:val="24"/>
          <w:lang w:eastAsia="pl-PL"/>
        </w:rPr>
        <w:t xml:space="preserve"> </w:t>
      </w:r>
      <w:r>
        <w:rPr>
          <w:rFonts w:ascii="Times New Roman" w:eastAsia="Times New Roman" w:hAnsi="Times New Roman"/>
          <w:color w:val="000000"/>
          <w:sz w:val="24"/>
          <w:szCs w:val="24"/>
        </w:rPr>
        <w:t xml:space="preserve">postanowieniem Sądu Rejonowego w Goleniowie I Wydział Cywilny z dnia </w:t>
      </w:r>
      <w:r w:rsidRPr="00171E71">
        <w:rPr>
          <w:rFonts w:ascii="Times New Roman" w:eastAsia="Times New Roman" w:hAnsi="Times New Roman"/>
          <w:color w:val="000000"/>
          <w:sz w:val="24"/>
          <w:szCs w:val="24"/>
          <w:highlight w:val="black"/>
        </w:rPr>
        <w:t>19 października 2021 r.</w:t>
      </w:r>
      <w:r>
        <w:rPr>
          <w:rFonts w:ascii="Times New Roman" w:eastAsia="Times New Roman" w:hAnsi="Times New Roman"/>
          <w:color w:val="000000"/>
          <w:sz w:val="24"/>
          <w:szCs w:val="24"/>
        </w:rPr>
        <w:t xml:space="preserve"> o stwierdzenia nabycia spadku po </w:t>
      </w:r>
      <w:r w:rsidRPr="00171E71">
        <w:rPr>
          <w:rFonts w:ascii="Times New Roman" w:eastAsia="Times New Roman" w:hAnsi="Times New Roman"/>
          <w:color w:val="000000"/>
          <w:sz w:val="24"/>
          <w:szCs w:val="24"/>
          <w:highlight w:val="black"/>
        </w:rPr>
        <w:t>Henryce Rosołowskiej</w:t>
      </w:r>
      <w:r>
        <w:rPr>
          <w:rFonts w:ascii="Times New Roman" w:eastAsia="Times New Roman" w:hAnsi="Times New Roman"/>
          <w:color w:val="000000"/>
          <w:sz w:val="24"/>
          <w:szCs w:val="24"/>
        </w:rPr>
        <w:t xml:space="preserve">, aktem notarialnym umowy sprzedaży numer </w:t>
      </w:r>
      <w:r w:rsidRPr="00171E71">
        <w:rPr>
          <w:rFonts w:ascii="Times New Roman" w:eastAsia="Times New Roman" w:hAnsi="Times New Roman"/>
          <w:color w:val="000000"/>
          <w:sz w:val="24"/>
          <w:szCs w:val="24"/>
          <w:highlight w:val="black"/>
        </w:rPr>
        <w:t>1568/2021 z dnia 16.04.2021 r.</w:t>
      </w:r>
      <w:r>
        <w:rPr>
          <w:rFonts w:ascii="Times New Roman" w:eastAsia="Times New Roman" w:hAnsi="Times New Roman"/>
          <w:color w:val="000000"/>
          <w:sz w:val="24"/>
          <w:szCs w:val="24"/>
        </w:rPr>
        <w:t xml:space="preserve"> współwłaścicielami </w:t>
      </w:r>
      <w:r>
        <w:rPr>
          <w:rFonts w:ascii="Times New Roman" w:eastAsia="Times New Roman" w:hAnsi="Times New Roman" w:cs="Times New Roman"/>
          <w:color w:val="000000"/>
          <w:sz w:val="24"/>
          <w:szCs w:val="24"/>
          <w:lang w:eastAsia="pl-PL"/>
        </w:rPr>
        <w:t xml:space="preserve">działki </w:t>
      </w:r>
      <w:r>
        <w:rPr>
          <w:rFonts w:ascii="Times New Roman" w:eastAsia="Times New Roman" w:hAnsi="Times New Roman"/>
          <w:color w:val="000000"/>
          <w:sz w:val="24"/>
          <w:szCs w:val="24"/>
        </w:rPr>
        <w:t xml:space="preserve">są: </w:t>
      </w:r>
      <w:r w:rsidRPr="00171E71">
        <w:rPr>
          <w:rFonts w:ascii="Times New Roman" w:eastAsia="Times New Roman" w:hAnsi="Times New Roman"/>
          <w:color w:val="000000"/>
          <w:sz w:val="24"/>
          <w:szCs w:val="24"/>
          <w:highlight w:val="black"/>
        </w:rPr>
        <w:t>Gmina</w:t>
      </w:r>
      <w:r w:rsidRPr="00171E71">
        <w:rPr>
          <w:rFonts w:ascii="Times New Roman" w:eastAsia="Times New Roman" w:hAnsi="Times New Roman" w:cs="Times New Roman"/>
          <w:color w:val="000000"/>
          <w:sz w:val="24"/>
          <w:szCs w:val="24"/>
          <w:highlight w:val="black"/>
          <w:lang w:eastAsia="pl-PL"/>
        </w:rPr>
        <w:t xml:space="preserve"> Nowogard, Aureli</w:t>
      </w:r>
      <w:r w:rsidRPr="00171E71">
        <w:rPr>
          <w:rFonts w:ascii="Times New Roman" w:eastAsia="Times New Roman" w:hAnsi="Times New Roman"/>
          <w:color w:val="000000"/>
          <w:sz w:val="24"/>
          <w:szCs w:val="24"/>
          <w:highlight w:val="black"/>
        </w:rPr>
        <w:t xml:space="preserve">a Banasiak, </w:t>
      </w:r>
      <w:r w:rsidRPr="00171E71">
        <w:rPr>
          <w:rFonts w:ascii="Times New Roman" w:eastAsia="Times New Roman" w:hAnsi="Times New Roman" w:cs="Times New Roman"/>
          <w:color w:val="000000"/>
          <w:sz w:val="24"/>
          <w:szCs w:val="24"/>
          <w:highlight w:val="black"/>
          <w:lang w:eastAsia="pl-PL"/>
        </w:rPr>
        <w:t>Małgorzat Grudzińsk</w:t>
      </w:r>
      <w:r w:rsidRPr="00171E71">
        <w:rPr>
          <w:rFonts w:ascii="Times New Roman" w:eastAsia="Times New Roman" w:hAnsi="Times New Roman"/>
          <w:color w:val="000000"/>
          <w:sz w:val="24"/>
          <w:szCs w:val="24"/>
          <w:highlight w:val="black"/>
        </w:rPr>
        <w:t>a,</w:t>
      </w:r>
      <w:r w:rsidRPr="00171E71">
        <w:rPr>
          <w:rFonts w:ascii="Times New Roman" w:eastAsia="Times New Roman" w:hAnsi="Times New Roman" w:cs="Times New Roman"/>
          <w:color w:val="000000"/>
          <w:sz w:val="24"/>
          <w:szCs w:val="24"/>
          <w:highlight w:val="black"/>
          <w:lang w:eastAsia="pl-PL"/>
        </w:rPr>
        <w:t xml:space="preserve"> Adam Milewski i Mari</w:t>
      </w:r>
      <w:r w:rsidRPr="00171E71">
        <w:rPr>
          <w:rFonts w:ascii="Times New Roman" w:eastAsia="Times New Roman" w:hAnsi="Times New Roman"/>
          <w:color w:val="000000"/>
          <w:sz w:val="24"/>
          <w:szCs w:val="24"/>
          <w:highlight w:val="black"/>
        </w:rPr>
        <w:t>a</w:t>
      </w:r>
      <w:r w:rsidRPr="00171E71">
        <w:rPr>
          <w:rFonts w:ascii="Times New Roman" w:eastAsia="Times New Roman" w:hAnsi="Times New Roman" w:cs="Times New Roman"/>
          <w:color w:val="000000"/>
          <w:sz w:val="24"/>
          <w:szCs w:val="24"/>
          <w:highlight w:val="black"/>
          <w:lang w:eastAsia="pl-PL"/>
        </w:rPr>
        <w:t xml:space="preserve"> Milewsk</w:t>
      </w:r>
      <w:r w:rsidRPr="00171E71">
        <w:rPr>
          <w:rFonts w:ascii="Times New Roman" w:eastAsia="Times New Roman" w:hAnsi="Times New Roman"/>
          <w:color w:val="000000"/>
          <w:sz w:val="24"/>
          <w:szCs w:val="24"/>
          <w:highlight w:val="black"/>
        </w:rPr>
        <w:t xml:space="preserve">a </w:t>
      </w:r>
      <w:r w:rsidRPr="00171E71">
        <w:rPr>
          <w:rFonts w:ascii="Times New Roman" w:eastAsia="Times New Roman" w:hAnsi="Times New Roman" w:cs="Times New Roman"/>
          <w:color w:val="000000"/>
          <w:sz w:val="24"/>
          <w:szCs w:val="24"/>
          <w:highlight w:val="black"/>
          <w:lang w:eastAsia="pl-PL"/>
        </w:rPr>
        <w:t xml:space="preserve">- na zasadzie wspólności ustawowej majątkowej małżeńskiej, </w:t>
      </w:r>
      <w:r w:rsidRPr="00171E71">
        <w:rPr>
          <w:rFonts w:ascii="Times New Roman" w:eastAsia="Times New Roman" w:hAnsi="Times New Roman"/>
          <w:color w:val="000000"/>
          <w:sz w:val="24"/>
          <w:szCs w:val="24"/>
          <w:highlight w:val="black"/>
        </w:rPr>
        <w:t>Irena Rydel,</w:t>
      </w:r>
      <w:r>
        <w:rPr>
          <w:rFonts w:ascii="Times New Roman" w:eastAsia="Times New Roman" w:hAnsi="Times New Roman"/>
          <w:color w:val="000000"/>
          <w:sz w:val="24"/>
          <w:szCs w:val="24"/>
        </w:rPr>
        <w:t xml:space="preserve"> nieżyjący</w:t>
      </w:r>
      <w:r w:rsidRPr="00BE6627">
        <w:rPr>
          <w:rFonts w:ascii="Times New Roman" w:eastAsia="Times New Roman" w:hAnsi="Times New Roman" w:cs="Times New Roman"/>
          <w:color w:val="000000"/>
          <w:sz w:val="24"/>
          <w:szCs w:val="24"/>
          <w:lang w:eastAsia="pl-PL"/>
        </w:rPr>
        <w:t xml:space="preserve"> Ryszard</w:t>
      </w:r>
      <w:r>
        <w:rPr>
          <w:rFonts w:ascii="Times New Roman" w:eastAsia="Times New Roman" w:hAnsi="Times New Roman"/>
          <w:color w:val="000000"/>
          <w:sz w:val="24"/>
          <w:szCs w:val="24"/>
        </w:rPr>
        <w:t xml:space="preserve"> Królikowski – po którym</w:t>
      </w:r>
      <w:r w:rsidRPr="00BE6627">
        <w:rPr>
          <w:rFonts w:ascii="Times New Roman" w:eastAsia="Times New Roman" w:hAnsi="Times New Roman" w:cs="Times New Roman"/>
          <w:color w:val="000000"/>
          <w:sz w:val="24"/>
          <w:szCs w:val="24"/>
          <w:lang w:eastAsia="pl-PL"/>
        </w:rPr>
        <w:t xml:space="preserve"> nie przeprowadzono postępowania spadkowego</w:t>
      </w:r>
      <w:r>
        <w:rPr>
          <w:rFonts w:ascii="Times New Roman" w:eastAsia="Times New Roman" w:hAnsi="Times New Roman"/>
          <w:color w:val="000000"/>
          <w:sz w:val="24"/>
          <w:szCs w:val="24"/>
        </w:rPr>
        <w:t xml:space="preserve">. Przedmiotowa działka jest nieruchomością o nieuregulowanym stanie prawny. </w:t>
      </w:r>
      <w:r w:rsidRPr="00116541">
        <w:rPr>
          <w:rFonts w:ascii="Times New Roman" w:hAnsi="Times New Roman"/>
          <w:sz w:val="24"/>
          <w:szCs w:val="24"/>
        </w:rPr>
        <w:t xml:space="preserve">Stąd </w:t>
      </w:r>
      <w:r>
        <w:rPr>
          <w:rFonts w:ascii="Times New Roman" w:hAnsi="Times New Roman"/>
          <w:sz w:val="24"/>
          <w:szCs w:val="24"/>
        </w:rPr>
        <w:t xml:space="preserve">w tej części </w:t>
      </w:r>
      <w:r w:rsidRPr="00116541">
        <w:rPr>
          <w:rFonts w:ascii="Times New Roman" w:hAnsi="Times New Roman"/>
          <w:sz w:val="24"/>
          <w:szCs w:val="24"/>
        </w:rPr>
        <w:t>winien mieć zastosowanie przepis art. 133 pkt 2 w myśl, którego „</w:t>
      </w:r>
      <w:r w:rsidRPr="00116541">
        <w:rPr>
          <w:rFonts w:ascii="Times New Roman" w:hAnsi="Times New Roman"/>
          <w:i/>
          <w:sz w:val="24"/>
          <w:szCs w:val="24"/>
        </w:rPr>
        <w:t>odszkodowanie wpłaca się do depozytu sądowego</w:t>
      </w:r>
      <w:r w:rsidRPr="00116541">
        <w:rPr>
          <w:rFonts w:ascii="Times New Roman" w:hAnsi="Times New Roman"/>
          <w:sz w:val="24"/>
          <w:szCs w:val="24"/>
        </w:rPr>
        <w:t>”, jeżeli dotyczy nieruchomości o nieuregulowanym stanie prawnym.</w:t>
      </w:r>
    </w:p>
    <w:p w14:paraId="5C555096" w14:textId="77777777" w:rsidR="00171E71" w:rsidRPr="00FE4ACE" w:rsidRDefault="00171E71" w:rsidP="00493EAB">
      <w:pPr>
        <w:pStyle w:val="Standard"/>
        <w:spacing w:after="0" w:line="240" w:lineRule="auto"/>
        <w:ind w:firstLine="680"/>
        <w:jc w:val="both"/>
        <w:rPr>
          <w:rFonts w:ascii="Times New Roman" w:eastAsia="Times New Roman" w:hAnsi="Times New Roman"/>
          <w:color w:val="000000" w:themeColor="text1"/>
          <w:sz w:val="24"/>
          <w:szCs w:val="24"/>
        </w:rPr>
      </w:pPr>
      <w:r>
        <w:rPr>
          <w:rFonts w:ascii="Times New Roman" w:eastAsia="Times New Roman" w:hAnsi="Times New Roman"/>
          <w:color w:val="000000"/>
          <w:sz w:val="24"/>
          <w:szCs w:val="24"/>
        </w:rPr>
        <w:t xml:space="preserve">Zgodnie z art. 132 ust. 3 ww. ustawy, wysokość odszkodowania ustalona w decyzji podlega </w:t>
      </w:r>
      <w:r w:rsidRPr="00FE4ACE">
        <w:rPr>
          <w:rFonts w:ascii="Times New Roman" w:eastAsia="Times New Roman" w:hAnsi="Times New Roman"/>
          <w:color w:val="000000" w:themeColor="text1"/>
          <w:sz w:val="24"/>
          <w:szCs w:val="24"/>
        </w:rPr>
        <w:t>waloryzacji na dzień jego zapłaty.</w:t>
      </w:r>
      <w:bookmarkEnd w:id="3"/>
    </w:p>
    <w:p w14:paraId="5001635B" w14:textId="77777777" w:rsidR="00171E71" w:rsidRPr="00FE4ACE" w:rsidRDefault="00171E71" w:rsidP="00493EAB">
      <w:pPr>
        <w:pStyle w:val="Standard"/>
        <w:suppressAutoHyphens w:val="0"/>
        <w:spacing w:after="0" w:line="240" w:lineRule="auto"/>
        <w:ind w:firstLine="680"/>
        <w:jc w:val="both"/>
        <w:rPr>
          <w:color w:val="000000" w:themeColor="text1"/>
        </w:rPr>
      </w:pPr>
      <w:r w:rsidRPr="00FE4ACE">
        <w:rPr>
          <w:rFonts w:ascii="Times New Roman" w:hAnsi="Times New Roman"/>
          <w:color w:val="000000" w:themeColor="text1"/>
          <w:sz w:val="24"/>
          <w:szCs w:val="24"/>
        </w:rPr>
        <w:t>Jako, że w niniejszym postępowaniu nie wszyscy właściciele działki nr 108 są znani, organ zastosował w tej kwestii przewidziany przepisami prawa specjalny tryb postępowania, tj. publikował:</w:t>
      </w:r>
    </w:p>
    <w:p w14:paraId="604D843B" w14:textId="77777777" w:rsidR="00171E71" w:rsidRPr="00FE4ACE" w:rsidRDefault="00171E71" w:rsidP="00493EAB">
      <w:pPr>
        <w:pStyle w:val="Standard"/>
        <w:suppressAutoHyphens w:val="0"/>
        <w:spacing w:after="0" w:line="240" w:lineRule="auto"/>
        <w:jc w:val="both"/>
        <w:rPr>
          <w:rFonts w:ascii="Times New Roman" w:hAnsi="Times New Roman"/>
          <w:color w:val="000000" w:themeColor="text1"/>
          <w:sz w:val="24"/>
          <w:szCs w:val="24"/>
        </w:rPr>
      </w:pPr>
      <w:r w:rsidRPr="00FE4ACE">
        <w:rPr>
          <w:rFonts w:ascii="Times New Roman" w:hAnsi="Times New Roman"/>
          <w:color w:val="000000" w:themeColor="text1"/>
          <w:sz w:val="24"/>
          <w:szCs w:val="24"/>
        </w:rPr>
        <w:t>- zawiadomienie o zamiarze wszczęcia postępowania odszkodowawczego,</w:t>
      </w:r>
    </w:p>
    <w:p w14:paraId="18D6B409" w14:textId="77777777" w:rsidR="00171E71" w:rsidRPr="00FE4ACE" w:rsidRDefault="00171E71" w:rsidP="00493EAB">
      <w:pPr>
        <w:pStyle w:val="Standard"/>
        <w:suppressAutoHyphens w:val="0"/>
        <w:spacing w:after="0" w:line="240" w:lineRule="auto"/>
        <w:jc w:val="both"/>
        <w:rPr>
          <w:rFonts w:ascii="Times New Roman" w:hAnsi="Times New Roman"/>
          <w:color w:val="000000" w:themeColor="text1"/>
          <w:sz w:val="24"/>
          <w:szCs w:val="24"/>
        </w:rPr>
      </w:pPr>
      <w:r w:rsidRPr="00FE4ACE">
        <w:rPr>
          <w:rFonts w:ascii="Times New Roman" w:hAnsi="Times New Roman"/>
          <w:color w:val="000000" w:themeColor="text1"/>
          <w:sz w:val="24"/>
          <w:szCs w:val="24"/>
        </w:rPr>
        <w:t>- zawiadomienie o wszczęciu postępowania odszkodowawczego,</w:t>
      </w:r>
    </w:p>
    <w:p w14:paraId="7FC5869F" w14:textId="77777777" w:rsidR="00171E71" w:rsidRPr="00FE4ACE" w:rsidRDefault="00171E71" w:rsidP="00493EAB">
      <w:pPr>
        <w:spacing w:after="0" w:line="240" w:lineRule="auto"/>
        <w:rPr>
          <w:rFonts w:ascii="Times New Roman" w:hAnsi="Times New Roman" w:cs="Times New Roman"/>
          <w:color w:val="000000" w:themeColor="text1"/>
          <w:sz w:val="24"/>
          <w:szCs w:val="24"/>
        </w:rPr>
      </w:pPr>
      <w:r w:rsidRPr="00FE4ACE">
        <w:rPr>
          <w:rFonts w:ascii="Times New Roman" w:hAnsi="Times New Roman" w:cs="Times New Roman"/>
          <w:color w:val="000000" w:themeColor="text1"/>
          <w:sz w:val="24"/>
          <w:szCs w:val="24"/>
        </w:rPr>
        <w:t>- postanowienie o powołaniu biegłego</w:t>
      </w:r>
    </w:p>
    <w:p w14:paraId="57CA7B4B" w14:textId="77777777" w:rsidR="00171E71" w:rsidRPr="00FE4ACE" w:rsidRDefault="00171E71" w:rsidP="00493EAB">
      <w:pPr>
        <w:pStyle w:val="Standard"/>
        <w:tabs>
          <w:tab w:val="left" w:pos="386"/>
        </w:tabs>
        <w:spacing w:after="0" w:line="240" w:lineRule="auto"/>
        <w:jc w:val="both"/>
        <w:rPr>
          <w:rFonts w:ascii="Times New Roman" w:hAnsi="Times New Roman"/>
          <w:color w:val="000000" w:themeColor="text1"/>
          <w:sz w:val="24"/>
          <w:szCs w:val="24"/>
        </w:rPr>
      </w:pPr>
      <w:r w:rsidRPr="00FE4ACE">
        <w:rPr>
          <w:rFonts w:ascii="Times New Roman" w:hAnsi="Times New Roman"/>
          <w:color w:val="000000" w:themeColor="text1"/>
          <w:sz w:val="24"/>
          <w:szCs w:val="24"/>
        </w:rPr>
        <w:t>- informację o prawach przysługujących stronom prawach, w tym o prawie wypowiedzenia się przed wydaniem decyzji (zgodnie z art. 10 § 1 kpa).</w:t>
      </w:r>
    </w:p>
    <w:p w14:paraId="0DE8DE11" w14:textId="77777777" w:rsidR="00171E71" w:rsidRDefault="00171E71" w:rsidP="00493EAB">
      <w:pPr>
        <w:pStyle w:val="Standard"/>
        <w:tabs>
          <w:tab w:val="left" w:pos="386"/>
        </w:tabs>
        <w:spacing w:after="0" w:line="240" w:lineRule="auto"/>
        <w:jc w:val="both"/>
        <w:rPr>
          <w:rFonts w:ascii="Times New Roman" w:hAnsi="Times New Roman"/>
          <w:color w:val="000000" w:themeColor="text1"/>
          <w:sz w:val="24"/>
          <w:szCs w:val="24"/>
        </w:rPr>
      </w:pPr>
      <w:r w:rsidRPr="00FE4ACE">
        <w:rPr>
          <w:rFonts w:ascii="Times New Roman" w:hAnsi="Times New Roman"/>
          <w:color w:val="000000" w:themeColor="text1"/>
          <w:sz w:val="24"/>
          <w:szCs w:val="24"/>
        </w:rPr>
        <w:t>Na skutek powyższych pism ogłoszonych publicznie, nikt nie złożył do postępowania żadnych żądań, zastrzeżeń, uwag.</w:t>
      </w:r>
    </w:p>
    <w:p w14:paraId="399BE248" w14:textId="77777777" w:rsidR="00171E71" w:rsidRPr="00FE4ACE" w:rsidRDefault="00171E71" w:rsidP="00493EAB">
      <w:pPr>
        <w:pStyle w:val="Standard"/>
        <w:tabs>
          <w:tab w:val="left" w:pos="386"/>
        </w:tabs>
        <w:spacing w:after="0" w:line="240" w:lineRule="auto"/>
        <w:jc w:val="both"/>
        <w:rPr>
          <w:rFonts w:ascii="Times New Roman" w:hAnsi="Times New Roman"/>
          <w:color w:val="000000" w:themeColor="text1"/>
          <w:sz w:val="24"/>
          <w:szCs w:val="24"/>
        </w:rPr>
      </w:pPr>
    </w:p>
    <w:p w14:paraId="2C44AF29" w14:textId="77777777" w:rsidR="00171E71" w:rsidRDefault="00171E71" w:rsidP="00493EAB">
      <w:pPr>
        <w:pStyle w:val="Standard"/>
        <w:spacing w:after="0" w:line="240" w:lineRule="auto"/>
        <w:ind w:firstLine="708"/>
        <w:jc w:val="both"/>
        <w:rPr>
          <w:rFonts w:ascii="Times New Roman" w:hAnsi="Times New Roman"/>
          <w:color w:val="000000" w:themeColor="text1"/>
          <w:sz w:val="24"/>
          <w:szCs w:val="24"/>
        </w:rPr>
      </w:pPr>
      <w:r w:rsidRPr="00FE4ACE">
        <w:rPr>
          <w:rFonts w:ascii="Times New Roman" w:hAnsi="Times New Roman"/>
          <w:color w:val="000000" w:themeColor="text1"/>
          <w:sz w:val="24"/>
          <w:szCs w:val="24"/>
        </w:rPr>
        <w:t>Niniejsza decyzja podlega także ogłoszeniu w sposób określony w art. 49 </w:t>
      </w:r>
      <w:r w:rsidRPr="00FE4ACE">
        <w:rPr>
          <w:rFonts w:ascii="Times New Roman" w:hAnsi="Times New Roman"/>
          <w:i/>
          <w:iCs/>
          <w:color w:val="000000" w:themeColor="text1"/>
          <w:sz w:val="24"/>
          <w:szCs w:val="24"/>
        </w:rPr>
        <w:t>Kodeksu postępowania administracyjnego </w:t>
      </w:r>
      <w:r w:rsidRPr="00FE4ACE">
        <w:rPr>
          <w:rFonts w:ascii="Times New Roman" w:hAnsi="Times New Roman"/>
          <w:color w:val="000000" w:themeColor="text1"/>
          <w:sz w:val="24"/>
          <w:szCs w:val="24"/>
        </w:rPr>
        <w:t>w związku z art. 118a ust. 2 ustawy </w:t>
      </w:r>
      <w:r w:rsidRPr="00FE4ACE">
        <w:rPr>
          <w:rFonts w:ascii="Times New Roman" w:hAnsi="Times New Roman"/>
          <w:i/>
          <w:iCs/>
          <w:color w:val="000000" w:themeColor="text1"/>
          <w:sz w:val="24"/>
          <w:szCs w:val="24"/>
        </w:rPr>
        <w:t>o gospodarce nieruchomościami </w:t>
      </w:r>
      <w:r w:rsidRPr="00FE4ACE">
        <w:rPr>
          <w:rFonts w:ascii="Times New Roman" w:hAnsi="Times New Roman"/>
          <w:color w:val="000000" w:themeColor="text1"/>
          <w:sz w:val="24"/>
          <w:szCs w:val="24"/>
        </w:rPr>
        <w:t xml:space="preserve">tj. przez obwieszczenie lub w inny zwyczajowo przyjęty w danej miejscowości sposób publicznego ogłaszania. Przedmiotowa decyzja podlega wywieszeniu na tablicy ogłoszeń Starostwa Powiatowego w Goleniowie, Urzędu </w:t>
      </w:r>
      <w:r>
        <w:rPr>
          <w:rFonts w:ascii="Times New Roman" w:hAnsi="Times New Roman"/>
          <w:color w:val="000000" w:themeColor="text1"/>
          <w:sz w:val="24"/>
          <w:szCs w:val="24"/>
        </w:rPr>
        <w:t>Miejskiego w Nowogardzie</w:t>
      </w:r>
      <w:r w:rsidRPr="00FE4ACE">
        <w:rPr>
          <w:rFonts w:ascii="Times New Roman" w:hAnsi="Times New Roman"/>
          <w:color w:val="000000" w:themeColor="text1"/>
          <w:sz w:val="24"/>
          <w:szCs w:val="24"/>
        </w:rPr>
        <w:t xml:space="preserve"> oraz na stronie internetowej </w:t>
      </w:r>
      <w:r w:rsidRPr="00FE4ACE">
        <w:rPr>
          <w:rFonts w:ascii="Times New Roman" w:hAnsi="Times New Roman"/>
          <w:color w:val="000000" w:themeColor="text1"/>
          <w:sz w:val="24"/>
          <w:szCs w:val="24"/>
        </w:rPr>
        <w:lastRenderedPageBreak/>
        <w:t>Starostwa Powiatowego w Goleniowie.</w:t>
      </w:r>
      <w:r>
        <w:rPr>
          <w:color w:val="000000" w:themeColor="text1"/>
        </w:rPr>
        <w:t xml:space="preserve"> </w:t>
      </w:r>
      <w:r w:rsidRPr="00FE4ACE">
        <w:rPr>
          <w:rFonts w:ascii="Times New Roman" w:hAnsi="Times New Roman"/>
          <w:color w:val="000000" w:themeColor="text1"/>
          <w:sz w:val="24"/>
          <w:szCs w:val="24"/>
        </w:rPr>
        <w:t>Decyzję uważa się za doręczoną ze skutkiem prawnym po upływie 14 dni od dnia publicznego ogłoszenia.</w:t>
      </w:r>
    </w:p>
    <w:p w14:paraId="62008AEA" w14:textId="77777777" w:rsidR="00171E71" w:rsidRPr="00DD6B1F" w:rsidRDefault="00171E71" w:rsidP="00493EAB">
      <w:pPr>
        <w:pStyle w:val="Standard"/>
        <w:spacing w:after="0" w:line="240" w:lineRule="auto"/>
        <w:ind w:firstLine="708"/>
        <w:jc w:val="both"/>
        <w:rPr>
          <w:color w:val="000000" w:themeColor="text1"/>
        </w:rPr>
      </w:pPr>
    </w:p>
    <w:p w14:paraId="49DE16BD" w14:textId="77777777" w:rsidR="00171E71" w:rsidRPr="00FE4ACE" w:rsidRDefault="00171E71" w:rsidP="00493EAB">
      <w:pPr>
        <w:pStyle w:val="Standard"/>
        <w:spacing w:after="0" w:line="240" w:lineRule="auto"/>
        <w:ind w:firstLine="680"/>
        <w:jc w:val="both"/>
        <w:rPr>
          <w:color w:val="000000" w:themeColor="text1"/>
        </w:rPr>
      </w:pPr>
      <w:r w:rsidRPr="00FE4ACE">
        <w:rPr>
          <w:rFonts w:ascii="Times New Roman" w:hAnsi="Times New Roman"/>
          <w:color w:val="000000" w:themeColor="text1"/>
          <w:sz w:val="24"/>
          <w:szCs w:val="24"/>
          <w:lang w:eastAsia="en-US"/>
        </w:rPr>
        <w:t xml:space="preserve">Zgodnie z art. 132 ust. 3 ww. ustawy, wysokość odszkodowania ustalona w decyzji podlega waloryzacji na dzień jego zapłaty. </w:t>
      </w:r>
    </w:p>
    <w:p w14:paraId="681B216E" w14:textId="77777777" w:rsidR="00171E71" w:rsidRPr="00FE4ACE" w:rsidRDefault="00171E71" w:rsidP="00493EAB">
      <w:pPr>
        <w:pStyle w:val="Standard"/>
        <w:spacing w:after="0" w:line="240" w:lineRule="auto"/>
        <w:jc w:val="both"/>
        <w:rPr>
          <w:rFonts w:ascii="Times New Roman" w:hAnsi="Times New Roman"/>
          <w:color w:val="000000" w:themeColor="text1"/>
          <w:sz w:val="24"/>
          <w:szCs w:val="24"/>
        </w:rPr>
      </w:pPr>
    </w:p>
    <w:p w14:paraId="73DE71D1" w14:textId="77777777" w:rsidR="00171E71" w:rsidRPr="00FE4ACE" w:rsidRDefault="00171E71" w:rsidP="00493EAB">
      <w:pPr>
        <w:pStyle w:val="Standard"/>
        <w:spacing w:after="0" w:line="240" w:lineRule="auto"/>
        <w:ind w:firstLine="680"/>
        <w:jc w:val="both"/>
        <w:rPr>
          <w:rFonts w:ascii="Times New Roman" w:hAnsi="Times New Roman"/>
          <w:color w:val="000000" w:themeColor="text1"/>
          <w:sz w:val="24"/>
          <w:szCs w:val="24"/>
        </w:rPr>
      </w:pPr>
      <w:r w:rsidRPr="00FE4ACE">
        <w:rPr>
          <w:rFonts w:ascii="Times New Roman" w:hAnsi="Times New Roman"/>
          <w:color w:val="000000" w:themeColor="text1"/>
          <w:sz w:val="24"/>
          <w:szCs w:val="24"/>
        </w:rPr>
        <w:t>Biorąc pod uwagę stan faktyczny i prawny należało orzec jak w rozstrzygnięciu.</w:t>
      </w:r>
    </w:p>
    <w:p w14:paraId="37C15E9B" w14:textId="77777777" w:rsidR="00171E71" w:rsidRPr="00FE4ACE" w:rsidRDefault="00171E71" w:rsidP="00493EAB">
      <w:pPr>
        <w:pStyle w:val="Standard"/>
        <w:spacing w:after="0" w:line="240" w:lineRule="auto"/>
        <w:ind w:firstLine="680"/>
        <w:jc w:val="both"/>
        <w:rPr>
          <w:rFonts w:ascii="Times New Roman" w:hAnsi="Times New Roman"/>
          <w:color w:val="000000" w:themeColor="text1"/>
          <w:sz w:val="24"/>
          <w:szCs w:val="24"/>
        </w:rPr>
      </w:pPr>
    </w:p>
    <w:p w14:paraId="10572792" w14:textId="77777777" w:rsidR="00171E71" w:rsidRPr="00FE4ACE" w:rsidRDefault="00171E71" w:rsidP="00493EAB">
      <w:pPr>
        <w:spacing w:after="0" w:line="240" w:lineRule="auto"/>
        <w:ind w:firstLine="878"/>
        <w:jc w:val="both"/>
        <w:rPr>
          <w:rFonts w:ascii="Times New Roman" w:hAnsi="Times New Roman"/>
          <w:iCs/>
          <w:color w:val="000000" w:themeColor="text1"/>
          <w:sz w:val="24"/>
          <w:szCs w:val="24"/>
        </w:rPr>
      </w:pPr>
      <w:r w:rsidRPr="00FE4ACE">
        <w:rPr>
          <w:rFonts w:ascii="Times New Roman" w:hAnsi="Times New Roman"/>
          <w:iCs/>
          <w:color w:val="000000" w:themeColor="text1"/>
          <w:sz w:val="24"/>
          <w:szCs w:val="24"/>
        </w:rPr>
        <w:t xml:space="preserve">Od powyższej decyzji służy Stronom odwołanie do Wojewody Zachodniopomorskiego </w:t>
      </w:r>
      <w:r>
        <w:rPr>
          <w:rFonts w:ascii="Times New Roman" w:hAnsi="Times New Roman"/>
          <w:iCs/>
          <w:color w:val="000000" w:themeColor="text1"/>
          <w:sz w:val="24"/>
          <w:szCs w:val="24"/>
        </w:rPr>
        <w:t xml:space="preserve">                     </w:t>
      </w:r>
      <w:r w:rsidRPr="00FE4ACE">
        <w:rPr>
          <w:rFonts w:ascii="Times New Roman" w:hAnsi="Times New Roman"/>
          <w:iCs/>
          <w:color w:val="000000" w:themeColor="text1"/>
          <w:sz w:val="24"/>
          <w:szCs w:val="24"/>
        </w:rPr>
        <w:t xml:space="preserve">w Szczecinie za pośrednictwem Starosty Goleniowskiego w terminie 14 dni od daty jej doręczenia. </w:t>
      </w:r>
    </w:p>
    <w:p w14:paraId="7A95B58C" w14:textId="77777777" w:rsidR="00171E71" w:rsidRPr="00FE4ACE" w:rsidRDefault="00171E71" w:rsidP="00493EAB">
      <w:pPr>
        <w:pStyle w:val="Standard"/>
        <w:spacing w:after="0" w:line="240" w:lineRule="auto"/>
        <w:ind w:left="3540" w:firstLine="708"/>
        <w:jc w:val="both"/>
        <w:rPr>
          <w:rFonts w:ascii="Times New Roman" w:eastAsia="Calibri" w:hAnsi="Times New Roman"/>
          <w:b/>
          <w:color w:val="000000" w:themeColor="text1"/>
          <w:sz w:val="24"/>
          <w:szCs w:val="24"/>
          <w:u w:val="single"/>
          <w:lang w:eastAsia="en-US"/>
        </w:rPr>
      </w:pPr>
    </w:p>
    <w:p w14:paraId="5C62ADD3" w14:textId="77777777" w:rsidR="00171E71" w:rsidRPr="0015746B" w:rsidRDefault="00171E71" w:rsidP="00493EAB">
      <w:pPr>
        <w:pStyle w:val="Standard"/>
        <w:spacing w:after="0" w:line="240" w:lineRule="auto"/>
        <w:ind w:left="3540" w:firstLine="708"/>
        <w:jc w:val="both"/>
        <w:rPr>
          <w:rFonts w:ascii="Times New Roman" w:eastAsia="Calibri" w:hAnsi="Times New Roman"/>
          <w:b/>
          <w:color w:val="FF0000"/>
          <w:sz w:val="24"/>
          <w:szCs w:val="24"/>
          <w:u w:val="single"/>
          <w:lang w:eastAsia="en-US"/>
        </w:rPr>
      </w:pPr>
    </w:p>
    <w:p w14:paraId="50B35C21" w14:textId="77777777" w:rsidR="00171E71" w:rsidRPr="0070198A" w:rsidRDefault="00171E71" w:rsidP="00493EAB">
      <w:pPr>
        <w:pStyle w:val="Standard"/>
        <w:spacing w:after="0" w:line="240" w:lineRule="auto"/>
        <w:ind w:left="3540" w:firstLine="708"/>
        <w:jc w:val="both"/>
        <w:rPr>
          <w:rFonts w:ascii="Times New Roman" w:eastAsia="Calibri" w:hAnsi="Times New Roman"/>
          <w:b/>
          <w:color w:val="000000" w:themeColor="text1"/>
          <w:sz w:val="24"/>
          <w:szCs w:val="24"/>
          <w:u w:val="single"/>
          <w:lang w:eastAsia="en-US"/>
        </w:rPr>
      </w:pPr>
    </w:p>
    <w:p w14:paraId="0BE24E16" w14:textId="77777777" w:rsidR="00171E71" w:rsidRPr="0070198A" w:rsidRDefault="00171E71" w:rsidP="00493EAB">
      <w:pPr>
        <w:spacing w:after="0" w:line="240" w:lineRule="auto"/>
        <w:rPr>
          <w:rFonts w:ascii="Times New Roman" w:hAnsi="Times New Roman"/>
          <w:b/>
          <w:color w:val="000000" w:themeColor="text1"/>
          <w:u w:val="single"/>
        </w:rPr>
      </w:pPr>
      <w:r w:rsidRPr="0070198A">
        <w:rPr>
          <w:rFonts w:ascii="Times New Roman" w:hAnsi="Times New Roman"/>
          <w:b/>
          <w:color w:val="000000" w:themeColor="text1"/>
          <w:u w:val="single"/>
        </w:rPr>
        <w:t>Otrzymują:</w:t>
      </w:r>
    </w:p>
    <w:p w14:paraId="03DA4B48" w14:textId="77777777" w:rsidR="00171E71" w:rsidRPr="006B24E0" w:rsidRDefault="00171E71" w:rsidP="00493EAB">
      <w:pPr>
        <w:pStyle w:val="Akapitzlist"/>
        <w:numPr>
          <w:ilvl w:val="0"/>
          <w:numId w:val="3"/>
        </w:numPr>
        <w:rPr>
          <w:rFonts w:ascii="Times New Roman" w:hAnsi="Times New Roman"/>
          <w:color w:val="000000" w:themeColor="text1"/>
          <w:sz w:val="18"/>
          <w:szCs w:val="18"/>
        </w:rPr>
      </w:pPr>
      <w:r w:rsidRPr="006B24E0">
        <w:rPr>
          <w:rFonts w:ascii="Times New Roman" w:hAnsi="Times New Roman"/>
          <w:color w:val="000000" w:themeColor="text1"/>
          <w:sz w:val="18"/>
          <w:szCs w:val="18"/>
        </w:rPr>
        <w:t xml:space="preserve">Wg. rozdzielnika </w:t>
      </w:r>
    </w:p>
    <w:p w14:paraId="6886BFDA" w14:textId="77777777" w:rsidR="00171E71" w:rsidRPr="006B24E0" w:rsidRDefault="00171E71" w:rsidP="00493EAB">
      <w:pPr>
        <w:widowControl/>
        <w:numPr>
          <w:ilvl w:val="0"/>
          <w:numId w:val="3"/>
        </w:numPr>
        <w:suppressAutoHyphens w:val="0"/>
        <w:autoSpaceDN/>
        <w:spacing w:after="0" w:line="240" w:lineRule="auto"/>
        <w:textAlignment w:val="auto"/>
        <w:rPr>
          <w:rFonts w:ascii="Times New Roman" w:hAnsi="Times New Roman"/>
          <w:color w:val="000000" w:themeColor="text1"/>
          <w:sz w:val="18"/>
          <w:szCs w:val="18"/>
        </w:rPr>
      </w:pPr>
      <w:r w:rsidRPr="006B24E0">
        <w:rPr>
          <w:rFonts w:ascii="Times New Roman" w:hAnsi="Times New Roman"/>
          <w:color w:val="000000" w:themeColor="text1"/>
          <w:sz w:val="18"/>
          <w:szCs w:val="18"/>
        </w:rPr>
        <w:t>Pan Bogumił Walec</w:t>
      </w:r>
    </w:p>
    <w:p w14:paraId="147AFEF7" w14:textId="77777777" w:rsidR="00171E71" w:rsidRPr="006B24E0" w:rsidRDefault="00171E71" w:rsidP="00493EAB">
      <w:pPr>
        <w:spacing w:after="0" w:line="240" w:lineRule="auto"/>
        <w:ind w:left="720"/>
        <w:rPr>
          <w:rFonts w:ascii="Times New Roman" w:hAnsi="Times New Roman"/>
          <w:i/>
          <w:color w:val="000000" w:themeColor="text1"/>
          <w:sz w:val="18"/>
          <w:szCs w:val="18"/>
        </w:rPr>
      </w:pPr>
      <w:r w:rsidRPr="006B24E0">
        <w:rPr>
          <w:rFonts w:ascii="Times New Roman" w:hAnsi="Times New Roman"/>
          <w:i/>
          <w:color w:val="000000" w:themeColor="text1"/>
          <w:sz w:val="18"/>
          <w:szCs w:val="18"/>
        </w:rPr>
        <w:t>działający w imieniu Polskich Sieci Elektroenergetycznych S.A.</w:t>
      </w:r>
    </w:p>
    <w:p w14:paraId="4D940B5E" w14:textId="77777777" w:rsidR="00171E71" w:rsidRPr="006B24E0" w:rsidRDefault="00171E71" w:rsidP="00493EAB">
      <w:pPr>
        <w:spacing w:after="0" w:line="240" w:lineRule="auto"/>
        <w:ind w:left="720"/>
        <w:rPr>
          <w:rFonts w:ascii="Times New Roman" w:hAnsi="Times New Roman"/>
          <w:color w:val="000000" w:themeColor="text1"/>
          <w:sz w:val="18"/>
          <w:szCs w:val="18"/>
          <w:u w:val="single"/>
        </w:rPr>
      </w:pPr>
      <w:r w:rsidRPr="006B24E0">
        <w:rPr>
          <w:rFonts w:ascii="Times New Roman" w:hAnsi="Times New Roman"/>
          <w:color w:val="000000" w:themeColor="text1"/>
          <w:sz w:val="18"/>
          <w:szCs w:val="18"/>
          <w:u w:val="single"/>
        </w:rPr>
        <w:t>adres do korespondencji:</w:t>
      </w:r>
    </w:p>
    <w:p w14:paraId="4384F37C" w14:textId="77777777" w:rsidR="00171E71" w:rsidRPr="006B24E0" w:rsidRDefault="00171E71" w:rsidP="00493EAB">
      <w:pPr>
        <w:spacing w:after="0" w:line="240" w:lineRule="auto"/>
        <w:ind w:left="720"/>
        <w:rPr>
          <w:rFonts w:ascii="Times New Roman" w:hAnsi="Times New Roman"/>
          <w:color w:val="000000" w:themeColor="text1"/>
          <w:sz w:val="18"/>
          <w:szCs w:val="18"/>
        </w:rPr>
      </w:pPr>
      <w:r w:rsidRPr="006B24E0">
        <w:rPr>
          <w:rFonts w:ascii="Times New Roman" w:hAnsi="Times New Roman"/>
          <w:color w:val="000000" w:themeColor="text1"/>
          <w:sz w:val="18"/>
          <w:szCs w:val="18"/>
        </w:rPr>
        <w:t>ELTEL Networks Energetyka S.A.</w:t>
      </w:r>
    </w:p>
    <w:p w14:paraId="5E7DA9D2" w14:textId="77777777" w:rsidR="00171E71" w:rsidRPr="006B24E0" w:rsidRDefault="00171E71" w:rsidP="00493EAB">
      <w:pPr>
        <w:spacing w:after="0" w:line="240" w:lineRule="auto"/>
        <w:ind w:left="720"/>
        <w:rPr>
          <w:rFonts w:ascii="Times New Roman" w:hAnsi="Times New Roman"/>
          <w:color w:val="000000" w:themeColor="text1"/>
          <w:sz w:val="18"/>
          <w:szCs w:val="18"/>
        </w:rPr>
      </w:pPr>
      <w:r w:rsidRPr="006B24E0">
        <w:rPr>
          <w:rFonts w:ascii="Times New Roman" w:hAnsi="Times New Roman"/>
          <w:color w:val="000000" w:themeColor="text1"/>
          <w:sz w:val="18"/>
          <w:szCs w:val="18"/>
        </w:rPr>
        <w:t>Gutkowo 81D</w:t>
      </w:r>
    </w:p>
    <w:p w14:paraId="15E8CBF6" w14:textId="77777777" w:rsidR="00171E71" w:rsidRPr="006B24E0" w:rsidRDefault="00171E71" w:rsidP="00493EAB">
      <w:pPr>
        <w:spacing w:after="0" w:line="240" w:lineRule="auto"/>
        <w:ind w:left="720"/>
        <w:rPr>
          <w:rFonts w:ascii="Times New Roman" w:hAnsi="Times New Roman"/>
          <w:color w:val="000000" w:themeColor="text1"/>
          <w:sz w:val="18"/>
          <w:szCs w:val="18"/>
        </w:rPr>
      </w:pPr>
      <w:r w:rsidRPr="006B24E0">
        <w:rPr>
          <w:rFonts w:ascii="Times New Roman" w:hAnsi="Times New Roman"/>
          <w:color w:val="000000" w:themeColor="text1"/>
          <w:sz w:val="18"/>
          <w:szCs w:val="18"/>
        </w:rPr>
        <w:t>11-041 Olsztyn</w:t>
      </w:r>
    </w:p>
    <w:p w14:paraId="1EE55AB6" w14:textId="77777777" w:rsidR="00171E71" w:rsidRPr="006B24E0" w:rsidRDefault="00171E71" w:rsidP="00493EAB">
      <w:pPr>
        <w:widowControl/>
        <w:numPr>
          <w:ilvl w:val="0"/>
          <w:numId w:val="3"/>
        </w:numPr>
        <w:suppressAutoHyphens w:val="0"/>
        <w:autoSpaceDN/>
        <w:spacing w:after="0" w:line="240" w:lineRule="auto"/>
        <w:textAlignment w:val="auto"/>
        <w:rPr>
          <w:rFonts w:ascii="Times New Roman" w:hAnsi="Times New Roman"/>
          <w:color w:val="000000" w:themeColor="text1"/>
          <w:sz w:val="18"/>
          <w:szCs w:val="18"/>
        </w:rPr>
      </w:pPr>
      <w:r w:rsidRPr="006B24E0">
        <w:rPr>
          <w:rFonts w:ascii="Times New Roman" w:hAnsi="Times New Roman"/>
          <w:color w:val="000000" w:themeColor="text1"/>
          <w:sz w:val="18"/>
          <w:szCs w:val="18"/>
        </w:rPr>
        <w:t>a/a</w:t>
      </w:r>
    </w:p>
    <w:p w14:paraId="5FD5B063" w14:textId="77777777" w:rsidR="00171E71" w:rsidRPr="006B24E0" w:rsidRDefault="00171E71" w:rsidP="00493EAB">
      <w:pPr>
        <w:spacing w:after="0" w:line="240" w:lineRule="auto"/>
        <w:ind w:left="720"/>
        <w:rPr>
          <w:rFonts w:ascii="Times New Roman" w:hAnsi="Times New Roman"/>
          <w:color w:val="FF0000"/>
          <w:sz w:val="18"/>
          <w:szCs w:val="18"/>
        </w:rPr>
      </w:pPr>
    </w:p>
    <w:p w14:paraId="23DCAF9E" w14:textId="77777777" w:rsidR="00171E71" w:rsidRPr="006B24E0" w:rsidRDefault="00171E71" w:rsidP="00493EAB">
      <w:pPr>
        <w:spacing w:after="0" w:line="240" w:lineRule="auto"/>
        <w:ind w:left="720"/>
        <w:rPr>
          <w:rFonts w:ascii="Times New Roman" w:hAnsi="Times New Roman"/>
          <w:color w:val="FF0000"/>
          <w:sz w:val="18"/>
          <w:szCs w:val="18"/>
        </w:rPr>
      </w:pPr>
    </w:p>
    <w:p w14:paraId="6449F838" w14:textId="77777777" w:rsidR="00171E71" w:rsidRPr="006B24E0" w:rsidRDefault="00171E71" w:rsidP="00493EAB">
      <w:pPr>
        <w:spacing w:after="0" w:line="240" w:lineRule="auto"/>
        <w:jc w:val="both"/>
        <w:rPr>
          <w:rFonts w:ascii="Times New Roman" w:hAnsi="Times New Roman"/>
          <w:color w:val="000000" w:themeColor="text1"/>
          <w:sz w:val="18"/>
          <w:szCs w:val="18"/>
        </w:rPr>
      </w:pPr>
      <w:r w:rsidRPr="006B24E0">
        <w:rPr>
          <w:rFonts w:ascii="Times New Roman" w:hAnsi="Times New Roman"/>
          <w:b/>
          <w:color w:val="000000" w:themeColor="text1"/>
          <w:sz w:val="18"/>
          <w:szCs w:val="18"/>
          <w:u w:val="single"/>
        </w:rPr>
        <w:t>Podano do publicznej wiadomości:</w:t>
      </w:r>
    </w:p>
    <w:p w14:paraId="04C4628D" w14:textId="77777777" w:rsidR="00171E71" w:rsidRPr="006B24E0" w:rsidRDefault="00171E71" w:rsidP="00493EAB">
      <w:pPr>
        <w:spacing w:after="0" w:line="240" w:lineRule="auto"/>
        <w:jc w:val="both"/>
        <w:rPr>
          <w:rFonts w:ascii="Times New Roman" w:hAnsi="Times New Roman"/>
          <w:b/>
          <w:color w:val="000000" w:themeColor="text1"/>
          <w:sz w:val="18"/>
          <w:szCs w:val="18"/>
          <w:u w:val="single"/>
        </w:rPr>
      </w:pPr>
      <w:r w:rsidRPr="006B24E0">
        <w:rPr>
          <w:rFonts w:ascii="Times New Roman" w:hAnsi="Times New Roman"/>
          <w:color w:val="000000" w:themeColor="text1"/>
          <w:sz w:val="18"/>
          <w:szCs w:val="18"/>
        </w:rPr>
        <w:t>- na tablicy ogłoszeń Starostwa Powiatowego w Goleniowie</w:t>
      </w:r>
    </w:p>
    <w:p w14:paraId="7D056567" w14:textId="77777777" w:rsidR="00171E71" w:rsidRPr="006B24E0" w:rsidRDefault="00171E71" w:rsidP="00493EAB">
      <w:pPr>
        <w:spacing w:after="0" w:line="240" w:lineRule="auto"/>
        <w:jc w:val="both"/>
        <w:rPr>
          <w:rFonts w:ascii="Times New Roman" w:hAnsi="Times New Roman"/>
          <w:color w:val="000000" w:themeColor="text1"/>
          <w:sz w:val="18"/>
          <w:szCs w:val="18"/>
        </w:rPr>
      </w:pPr>
      <w:r w:rsidRPr="006B24E0">
        <w:rPr>
          <w:rFonts w:ascii="Times New Roman" w:hAnsi="Times New Roman"/>
          <w:color w:val="000000" w:themeColor="text1"/>
          <w:sz w:val="18"/>
          <w:szCs w:val="18"/>
        </w:rPr>
        <w:t>- na stronie internetowej BIP Starostwa Powiatowego w Goleniowie</w:t>
      </w:r>
    </w:p>
    <w:p w14:paraId="53102ABC" w14:textId="77777777" w:rsidR="00171E71" w:rsidRPr="006B24E0" w:rsidRDefault="00171E71" w:rsidP="00493EAB">
      <w:pPr>
        <w:spacing w:after="0" w:line="240" w:lineRule="auto"/>
        <w:rPr>
          <w:rFonts w:ascii="Times New Roman" w:hAnsi="Times New Roman"/>
          <w:color w:val="000000" w:themeColor="text1"/>
          <w:sz w:val="18"/>
          <w:szCs w:val="18"/>
          <w:lang w:eastAsia="pl-PL"/>
        </w:rPr>
      </w:pPr>
      <w:r w:rsidRPr="006B24E0">
        <w:rPr>
          <w:rFonts w:ascii="Times New Roman" w:hAnsi="Times New Roman"/>
          <w:color w:val="000000" w:themeColor="text1"/>
          <w:sz w:val="18"/>
          <w:szCs w:val="18"/>
        </w:rPr>
        <w:t xml:space="preserve">- na tablicy ogłoszeń Urzędu Miejskiego w Nowogardzie </w:t>
      </w:r>
      <w:r w:rsidRPr="006B24E0">
        <w:rPr>
          <w:rFonts w:ascii="Times New Roman" w:hAnsi="Times New Roman"/>
          <w:color w:val="000000" w:themeColor="text1"/>
          <w:sz w:val="18"/>
          <w:szCs w:val="18"/>
        </w:rPr>
        <w:br/>
      </w:r>
    </w:p>
    <w:p w14:paraId="2E445420" w14:textId="77777777" w:rsidR="00171E71" w:rsidRPr="0015746B" w:rsidRDefault="00171E71" w:rsidP="00493EAB">
      <w:pPr>
        <w:spacing w:line="240" w:lineRule="auto"/>
        <w:rPr>
          <w:color w:val="FF0000"/>
        </w:rPr>
      </w:pPr>
    </w:p>
    <w:p w14:paraId="0E5C23B3" w14:textId="77777777" w:rsidR="00F1485C" w:rsidRDefault="00000000" w:rsidP="00493EAB">
      <w:pPr>
        <w:spacing w:line="240" w:lineRule="auto"/>
      </w:pPr>
    </w:p>
    <w:sectPr w:rsidR="00F1485C" w:rsidSect="007E11EA">
      <w:footerReference w:type="default" r:id="rId8"/>
      <w:pgSz w:w="12240" w:h="15840"/>
      <w:pgMar w:top="709" w:right="851" w:bottom="794" w:left="1531" w:header="709"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E642E" w14:textId="77777777" w:rsidR="00274F68" w:rsidRDefault="00274F68">
      <w:pPr>
        <w:spacing w:after="0" w:line="240" w:lineRule="auto"/>
      </w:pPr>
      <w:r>
        <w:separator/>
      </w:r>
    </w:p>
  </w:endnote>
  <w:endnote w:type="continuationSeparator" w:id="0">
    <w:p w14:paraId="0E90FC85" w14:textId="77777777" w:rsidR="00274F68" w:rsidRDefault="00274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Hind">
    <w:charset w:val="00"/>
    <w:family w:val="auto"/>
    <w:pitch w:val="variable"/>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008465"/>
      <w:docPartObj>
        <w:docPartGallery w:val="Page Numbers (Bottom of Page)"/>
        <w:docPartUnique/>
      </w:docPartObj>
    </w:sdtPr>
    <w:sdtContent>
      <w:p w14:paraId="2DB52180" w14:textId="77777777" w:rsidR="006B24E0" w:rsidRDefault="00493EAB">
        <w:pPr>
          <w:pStyle w:val="Stopka"/>
          <w:jc w:val="right"/>
        </w:pPr>
        <w:r>
          <w:fldChar w:fldCharType="begin"/>
        </w:r>
        <w:r>
          <w:instrText>PAGE   \* MERGEFORMAT</w:instrText>
        </w:r>
        <w:r>
          <w:fldChar w:fldCharType="separate"/>
        </w:r>
        <w:r>
          <w:rPr>
            <w:noProof/>
          </w:rPr>
          <w:t>10</w:t>
        </w:r>
        <w:r>
          <w:fldChar w:fldCharType="end"/>
        </w:r>
      </w:p>
    </w:sdtContent>
  </w:sdt>
  <w:p w14:paraId="18D2FAA1" w14:textId="77777777" w:rsidR="00E81BE8" w:rsidRDefault="000000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46CA4" w14:textId="77777777" w:rsidR="00274F68" w:rsidRDefault="00274F68">
      <w:pPr>
        <w:spacing w:after="0" w:line="240" w:lineRule="auto"/>
      </w:pPr>
      <w:r>
        <w:separator/>
      </w:r>
    </w:p>
  </w:footnote>
  <w:footnote w:type="continuationSeparator" w:id="0">
    <w:p w14:paraId="21F9A607" w14:textId="77777777" w:rsidR="00274F68" w:rsidRDefault="00274F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91848"/>
    <w:multiLevelType w:val="multilevel"/>
    <w:tmpl w:val="66B47786"/>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281AA9"/>
    <w:multiLevelType w:val="multilevel"/>
    <w:tmpl w:val="1CA2DC7A"/>
    <w:styleLink w:val="WWNum1"/>
    <w:lvl w:ilvl="0">
      <w:start w:val="1"/>
      <w:numFmt w:val="decimal"/>
      <w:lvlText w:val="%1."/>
      <w:lvlJc w:val="left"/>
      <w:pPr>
        <w:ind w:left="928" w:hanging="360"/>
      </w:pPr>
      <w:rPr>
        <w:rFonts w:ascii="Times New Roman" w:hAnsi="Times New Roman" w:cs="Times New Roman"/>
        <w:b/>
        <w:bCs/>
        <w:i w:val="0"/>
      </w:rPr>
    </w:lvl>
    <w:lvl w:ilvl="1">
      <w:start w:val="1"/>
      <w:numFmt w:val="lowerLetter"/>
      <w:lvlText w:val="%2."/>
      <w:lvlJc w:val="left"/>
      <w:pPr>
        <w:ind w:left="1648" w:hanging="360"/>
      </w:pPr>
      <w:rPr>
        <w:rFonts w:cs="Times New Roman"/>
      </w:rPr>
    </w:lvl>
    <w:lvl w:ilvl="2">
      <w:start w:val="1"/>
      <w:numFmt w:val="lowerRoman"/>
      <w:lvlText w:val="%1.%2.%3."/>
      <w:lvlJc w:val="right"/>
      <w:pPr>
        <w:ind w:left="2368" w:hanging="180"/>
      </w:pPr>
      <w:rPr>
        <w:rFonts w:cs="Times New Roman"/>
      </w:rPr>
    </w:lvl>
    <w:lvl w:ilvl="3">
      <w:start w:val="1"/>
      <w:numFmt w:val="decimal"/>
      <w:lvlText w:val="%1.%2.%3.%4."/>
      <w:lvlJc w:val="left"/>
      <w:pPr>
        <w:ind w:left="3088" w:hanging="360"/>
      </w:pPr>
      <w:rPr>
        <w:rFonts w:cs="Times New Roman"/>
      </w:rPr>
    </w:lvl>
    <w:lvl w:ilvl="4">
      <w:start w:val="1"/>
      <w:numFmt w:val="lowerLetter"/>
      <w:lvlText w:val="%1.%2.%3.%4.%5."/>
      <w:lvlJc w:val="left"/>
      <w:pPr>
        <w:ind w:left="3808" w:hanging="360"/>
      </w:pPr>
      <w:rPr>
        <w:rFonts w:cs="Times New Roman"/>
      </w:rPr>
    </w:lvl>
    <w:lvl w:ilvl="5">
      <w:start w:val="1"/>
      <w:numFmt w:val="lowerRoman"/>
      <w:lvlText w:val="%1.%2.%3.%4.%5.%6."/>
      <w:lvlJc w:val="right"/>
      <w:pPr>
        <w:ind w:left="4528" w:hanging="180"/>
      </w:pPr>
      <w:rPr>
        <w:rFonts w:cs="Times New Roman"/>
      </w:rPr>
    </w:lvl>
    <w:lvl w:ilvl="6">
      <w:start w:val="1"/>
      <w:numFmt w:val="decimal"/>
      <w:lvlText w:val="%1.%2.%3.%4.%5.%6.%7."/>
      <w:lvlJc w:val="left"/>
      <w:pPr>
        <w:ind w:left="5248" w:hanging="360"/>
      </w:pPr>
      <w:rPr>
        <w:rFonts w:cs="Times New Roman"/>
      </w:rPr>
    </w:lvl>
    <w:lvl w:ilvl="7">
      <w:start w:val="1"/>
      <w:numFmt w:val="lowerLetter"/>
      <w:lvlText w:val="%1.%2.%3.%4.%5.%6.%7.%8."/>
      <w:lvlJc w:val="left"/>
      <w:pPr>
        <w:ind w:left="5968" w:hanging="360"/>
      </w:pPr>
      <w:rPr>
        <w:rFonts w:cs="Times New Roman"/>
      </w:rPr>
    </w:lvl>
    <w:lvl w:ilvl="8">
      <w:start w:val="1"/>
      <w:numFmt w:val="lowerRoman"/>
      <w:lvlText w:val="%1.%2.%3.%4.%5.%6.%7.%8.%9."/>
      <w:lvlJc w:val="right"/>
      <w:pPr>
        <w:ind w:left="6688" w:hanging="180"/>
      </w:pPr>
      <w:rPr>
        <w:rFonts w:cs="Times New Roman"/>
      </w:rPr>
    </w:lvl>
  </w:abstractNum>
  <w:abstractNum w:abstractNumId="2" w15:restartNumberingAfterBreak="0">
    <w:nsid w:val="233B4EA6"/>
    <w:multiLevelType w:val="hybridMultilevel"/>
    <w:tmpl w:val="396433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21F0C17"/>
    <w:multiLevelType w:val="hybridMultilevel"/>
    <w:tmpl w:val="E4EA73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B8B5E20"/>
    <w:multiLevelType w:val="hybridMultilevel"/>
    <w:tmpl w:val="4968890C"/>
    <w:lvl w:ilvl="0" w:tplc="0415000F">
      <w:start w:val="1"/>
      <w:numFmt w:val="decimal"/>
      <w:lvlText w:val="%1."/>
      <w:lvlJc w:val="left"/>
      <w:pPr>
        <w:ind w:left="720" w:hanging="36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56A4142D"/>
    <w:multiLevelType w:val="multilevel"/>
    <w:tmpl w:val="7A2EB67C"/>
    <w:styleLink w:val="WWNum7"/>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 w15:restartNumberingAfterBreak="0">
    <w:nsid w:val="785079CF"/>
    <w:multiLevelType w:val="multilevel"/>
    <w:tmpl w:val="B748C932"/>
    <w:styleLink w:val="WWNum5"/>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num w:numId="1" w16cid:durableId="1655065627">
    <w:abstractNumId w:val="1"/>
  </w:num>
  <w:num w:numId="2" w16cid:durableId="1574269731">
    <w:abstractNumId w:val="6"/>
  </w:num>
  <w:num w:numId="3" w16cid:durableId="592472212">
    <w:abstractNumId w:val="4"/>
  </w:num>
  <w:num w:numId="4" w16cid:durableId="911738797">
    <w:abstractNumId w:val="2"/>
  </w:num>
  <w:num w:numId="5" w16cid:durableId="779226047">
    <w:abstractNumId w:val="0"/>
  </w:num>
  <w:num w:numId="6" w16cid:durableId="342363129">
    <w:abstractNumId w:val="0"/>
    <w:lvlOverride w:ilvl="0">
      <w:startOverride w:val="1"/>
    </w:lvlOverride>
  </w:num>
  <w:num w:numId="7" w16cid:durableId="843788478">
    <w:abstractNumId w:val="5"/>
  </w:num>
  <w:num w:numId="8" w16cid:durableId="1808014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E71"/>
    <w:rsid w:val="00171E71"/>
    <w:rsid w:val="00274F68"/>
    <w:rsid w:val="00493EAB"/>
    <w:rsid w:val="00720338"/>
    <w:rsid w:val="00D62E11"/>
    <w:rsid w:val="00D94E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F1DB4"/>
  <w15:chartTrackingRefBased/>
  <w15:docId w15:val="{E39291D2-6C11-492B-8993-320DEADDF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1E71"/>
    <w:pPr>
      <w:widowControl w:val="0"/>
      <w:suppressAutoHyphens/>
      <w:autoSpaceDN w:val="0"/>
      <w:spacing w:line="249" w:lineRule="auto"/>
      <w:textAlignment w:val="baseline"/>
    </w:pPr>
    <w:rPr>
      <w:rFonts w:ascii="Calibri" w:eastAsia="SimSun" w:hAnsi="Calibri" w:cs="Tahoma"/>
      <w:kern w:val="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171E71"/>
    <w:pPr>
      <w:suppressAutoHyphens/>
      <w:autoSpaceDN w:val="0"/>
      <w:spacing w:line="249" w:lineRule="auto"/>
      <w:textAlignment w:val="baseline"/>
    </w:pPr>
    <w:rPr>
      <w:rFonts w:ascii="Calibri" w:eastAsia="SimSun" w:hAnsi="Calibri" w:cs="Times New Roman"/>
      <w:kern w:val="3"/>
      <w:lang w:eastAsia="pl-PL"/>
    </w:rPr>
  </w:style>
  <w:style w:type="paragraph" w:customStyle="1" w:styleId="noindent">
    <w:name w:val="noindent"/>
    <w:basedOn w:val="Standard"/>
    <w:rsid w:val="00171E71"/>
    <w:pPr>
      <w:spacing w:before="100" w:after="100" w:line="100" w:lineRule="atLeast"/>
    </w:pPr>
    <w:rPr>
      <w:rFonts w:ascii="Times New Roman" w:hAnsi="Times New Roman"/>
      <w:sz w:val="24"/>
      <w:szCs w:val="24"/>
      <w:lang w:eastAsia="ar-SA"/>
    </w:rPr>
  </w:style>
  <w:style w:type="paragraph" w:styleId="Stopka">
    <w:name w:val="footer"/>
    <w:basedOn w:val="Standard"/>
    <w:link w:val="StopkaZnak"/>
    <w:uiPriority w:val="99"/>
    <w:rsid w:val="00171E71"/>
    <w:pPr>
      <w:suppressLineNumbers/>
      <w:tabs>
        <w:tab w:val="center" w:pos="4536"/>
        <w:tab w:val="right" w:pos="9072"/>
      </w:tabs>
    </w:pPr>
  </w:style>
  <w:style w:type="character" w:customStyle="1" w:styleId="StopkaZnak">
    <w:name w:val="Stopka Znak"/>
    <w:basedOn w:val="Domylnaczcionkaakapitu"/>
    <w:link w:val="Stopka"/>
    <w:uiPriority w:val="99"/>
    <w:rsid w:val="00171E71"/>
    <w:rPr>
      <w:rFonts w:ascii="Calibri" w:eastAsia="SimSun" w:hAnsi="Calibri" w:cs="Times New Roman"/>
      <w:kern w:val="3"/>
      <w:lang w:eastAsia="pl-PL"/>
    </w:rPr>
  </w:style>
  <w:style w:type="character" w:customStyle="1" w:styleId="plbx-10x-x-1091">
    <w:name w:val="plbx-10x-x-1091"/>
    <w:rsid w:val="00171E71"/>
    <w:rPr>
      <w:b/>
    </w:rPr>
  </w:style>
  <w:style w:type="numbering" w:customStyle="1" w:styleId="WWNum1">
    <w:name w:val="WWNum1"/>
    <w:basedOn w:val="Bezlisty"/>
    <w:rsid w:val="00171E71"/>
    <w:pPr>
      <w:numPr>
        <w:numId w:val="1"/>
      </w:numPr>
    </w:pPr>
  </w:style>
  <w:style w:type="numbering" w:customStyle="1" w:styleId="WWNum5">
    <w:name w:val="WWNum5"/>
    <w:basedOn w:val="Bezlisty"/>
    <w:rsid w:val="00171E71"/>
    <w:pPr>
      <w:numPr>
        <w:numId w:val="2"/>
      </w:numPr>
    </w:pPr>
  </w:style>
  <w:style w:type="paragraph" w:customStyle="1" w:styleId="ng-scope">
    <w:name w:val="ng-scope"/>
    <w:basedOn w:val="Normalny"/>
    <w:rsid w:val="00171E71"/>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l-PL"/>
    </w:rPr>
  </w:style>
  <w:style w:type="paragraph" w:styleId="Akapitzlist">
    <w:name w:val="List Paragraph"/>
    <w:basedOn w:val="Standard"/>
    <w:uiPriority w:val="34"/>
    <w:qFormat/>
    <w:rsid w:val="00171E71"/>
    <w:pPr>
      <w:spacing w:after="0" w:line="240" w:lineRule="auto"/>
      <w:ind w:left="720"/>
    </w:pPr>
    <w:rPr>
      <w:rFonts w:ascii="Garamond" w:eastAsia="Times New Roman" w:hAnsi="Garamond"/>
      <w:kern w:val="0"/>
      <w:sz w:val="24"/>
      <w:szCs w:val="24"/>
    </w:rPr>
  </w:style>
  <w:style w:type="numbering" w:customStyle="1" w:styleId="WWNum6">
    <w:name w:val="WWNum6"/>
    <w:basedOn w:val="Bezlisty"/>
    <w:rsid w:val="00171E71"/>
    <w:pPr>
      <w:numPr>
        <w:numId w:val="5"/>
      </w:numPr>
    </w:pPr>
  </w:style>
  <w:style w:type="numbering" w:customStyle="1" w:styleId="WWNum7">
    <w:name w:val="WWNum7"/>
    <w:basedOn w:val="Bezlisty"/>
    <w:rsid w:val="00171E71"/>
    <w:pPr>
      <w:numPr>
        <w:numId w:val="7"/>
      </w:numPr>
    </w:pPr>
  </w:style>
  <w:style w:type="paragraph" w:styleId="Tekstdymka">
    <w:name w:val="Balloon Text"/>
    <w:basedOn w:val="Normalny"/>
    <w:link w:val="TekstdymkaZnak"/>
    <w:uiPriority w:val="99"/>
    <w:semiHidden/>
    <w:unhideWhenUsed/>
    <w:rsid w:val="00171E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71E71"/>
    <w:rPr>
      <w:rFonts w:ascii="Segoe UI" w:eastAsia="SimSun" w:hAnsi="Segoe UI" w:cs="Segoe U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AA824-2792-4ECD-9759-3BB0748F0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4545</Words>
  <Characters>27272</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Wagner-Raźniak</dc:creator>
  <cp:keywords/>
  <dc:description/>
  <cp:lastModifiedBy>Marzena Karmazyn-Kanonowicz</cp:lastModifiedBy>
  <cp:revision>2</cp:revision>
  <cp:lastPrinted>2023-02-28T08:05:00Z</cp:lastPrinted>
  <dcterms:created xsi:type="dcterms:W3CDTF">2023-02-28T11:27:00Z</dcterms:created>
  <dcterms:modified xsi:type="dcterms:W3CDTF">2023-02-28T11:27:00Z</dcterms:modified>
</cp:coreProperties>
</file>